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B69B" w14:textId="0B7D7A2E" w:rsidR="002412EF" w:rsidRDefault="002412EF" w:rsidP="002412E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E915ECA" w14:textId="67C4DAC0" w:rsidR="002412EF" w:rsidRDefault="002412EF" w:rsidP="002412E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9FAF21C" wp14:editId="0608DFC1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5FF8B" w14:textId="77777777" w:rsidR="002412EF" w:rsidRDefault="002412EF" w:rsidP="002412E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8C9A369" w14:textId="77777777" w:rsidR="002412EF" w:rsidRDefault="002412EF" w:rsidP="002412E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243DDC3" w14:textId="77777777" w:rsidR="002412EF" w:rsidRDefault="002412EF" w:rsidP="002412E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EE898B9" w14:textId="77777777" w:rsidR="002412EF" w:rsidRDefault="002412EF" w:rsidP="002412E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15EDC095" w14:textId="77777777" w:rsidR="002412EF" w:rsidRDefault="002412EF" w:rsidP="002412E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6D5E056" w14:textId="77777777" w:rsidR="007A4897" w:rsidRPr="007A4897" w:rsidRDefault="007A4897" w:rsidP="007A4897">
      <w:pPr>
        <w:jc w:val="both"/>
        <w:rPr>
          <w:rFonts w:ascii="Segoe UI" w:hAnsi="Segoe UI" w:cs="Segoe UI"/>
          <w:b/>
          <w:bCs/>
          <w:iCs/>
        </w:rPr>
      </w:pPr>
      <w:r w:rsidRPr="007A4897">
        <w:rPr>
          <w:rFonts w:ascii="Segoe UI" w:hAnsi="Segoe UI" w:cs="Segoe UI"/>
          <w:b/>
          <w:bCs/>
          <w:iCs/>
        </w:rPr>
        <w:t xml:space="preserve">High accuracy model for HBsAg loss based on longitudinal trajectories of serum </w:t>
      </w:r>
      <w:proofErr w:type="spellStart"/>
      <w:r w:rsidRPr="007A4897">
        <w:rPr>
          <w:rFonts w:ascii="Segoe UI" w:hAnsi="Segoe UI" w:cs="Segoe UI"/>
          <w:b/>
          <w:bCs/>
          <w:iCs/>
        </w:rPr>
        <w:t>qHBsAg</w:t>
      </w:r>
      <w:proofErr w:type="spellEnd"/>
      <w:r w:rsidRPr="007A4897">
        <w:rPr>
          <w:rFonts w:ascii="Segoe UI" w:hAnsi="Segoe UI" w:cs="Segoe UI"/>
          <w:b/>
          <w:bCs/>
          <w:iCs/>
        </w:rPr>
        <w:t xml:space="preserve"> throughout long-term antiviral </w:t>
      </w:r>
      <w:proofErr w:type="gramStart"/>
      <w:r w:rsidRPr="007A4897">
        <w:rPr>
          <w:rFonts w:ascii="Segoe UI" w:hAnsi="Segoe UI" w:cs="Segoe UI"/>
          <w:b/>
          <w:bCs/>
          <w:iCs/>
        </w:rPr>
        <w:t>therapy</w:t>
      </w:r>
      <w:proofErr w:type="gramEnd"/>
    </w:p>
    <w:p w14:paraId="560BF884" w14:textId="77777777" w:rsidR="007A4897" w:rsidRPr="007A4897" w:rsidRDefault="007A4897" w:rsidP="007A4897">
      <w:pPr>
        <w:jc w:val="both"/>
        <w:rPr>
          <w:rFonts w:ascii="Segoe UI" w:hAnsi="Segoe UI" w:cs="Segoe UI"/>
          <w:b/>
          <w:bCs/>
          <w:iCs/>
        </w:rPr>
      </w:pPr>
    </w:p>
    <w:p w14:paraId="2449BF6A" w14:textId="77777777" w:rsidR="007A4897" w:rsidRPr="007A4897" w:rsidRDefault="007A4897" w:rsidP="007A4897">
      <w:pPr>
        <w:jc w:val="both"/>
        <w:rPr>
          <w:rFonts w:ascii="Segoe UI" w:hAnsi="Segoe UI" w:cs="Segoe UI"/>
          <w:iCs/>
        </w:rPr>
      </w:pPr>
      <w:r w:rsidRPr="007A4897">
        <w:rPr>
          <w:rFonts w:ascii="Segoe UI" w:hAnsi="Segoe UI" w:cs="Segoe UI"/>
          <w:iCs/>
        </w:rPr>
        <w:t xml:space="preserve">Fan R, Zhao S, </w:t>
      </w:r>
      <w:proofErr w:type="spellStart"/>
      <w:r w:rsidRPr="007A4897">
        <w:rPr>
          <w:rFonts w:ascii="Segoe UI" w:hAnsi="Segoe UI" w:cs="Segoe UI"/>
          <w:iCs/>
        </w:rPr>
        <w:t>Niu</w:t>
      </w:r>
      <w:proofErr w:type="spellEnd"/>
      <w:r w:rsidRPr="007A4897">
        <w:rPr>
          <w:rFonts w:ascii="Segoe UI" w:hAnsi="Segoe UI" w:cs="Segoe UI"/>
          <w:iCs/>
        </w:rPr>
        <w:t xml:space="preserve"> J, </w:t>
      </w:r>
      <w:r w:rsidRPr="007A4897">
        <w:rPr>
          <w:rFonts w:ascii="Segoe UI" w:hAnsi="Segoe UI" w:cs="Segoe UI"/>
          <w:i/>
          <w:iCs/>
        </w:rPr>
        <w:t>et al.</w:t>
      </w:r>
      <w:r w:rsidRPr="007A4897">
        <w:rPr>
          <w:rFonts w:ascii="Segoe UI" w:hAnsi="Segoe UI" w:cs="Segoe UI"/>
          <w:iCs/>
        </w:rPr>
        <w:t xml:space="preserve"> High accuracy model for HBsAg loss based on longitudinal trajectories of serum </w:t>
      </w:r>
      <w:proofErr w:type="spellStart"/>
      <w:r w:rsidRPr="007A4897">
        <w:rPr>
          <w:rFonts w:ascii="Segoe UI" w:hAnsi="Segoe UI" w:cs="Segoe UI"/>
          <w:iCs/>
        </w:rPr>
        <w:t>qHBsAg</w:t>
      </w:r>
      <w:proofErr w:type="spellEnd"/>
      <w:r w:rsidRPr="007A4897">
        <w:rPr>
          <w:rFonts w:ascii="Segoe UI" w:hAnsi="Segoe UI" w:cs="Segoe UI"/>
          <w:iCs/>
        </w:rPr>
        <w:t xml:space="preserve"> throughout long-term antiviral therapy. Gut 2024; 73: 1725-1736. doi:10.1136/gutjnl-2024-332182.</w:t>
      </w:r>
    </w:p>
    <w:p w14:paraId="3C4108B8" w14:textId="77777777" w:rsidR="007A4897" w:rsidRPr="007A4897" w:rsidRDefault="007A4897" w:rsidP="007A4897">
      <w:pPr>
        <w:jc w:val="both"/>
        <w:rPr>
          <w:rFonts w:ascii="Segoe UI" w:hAnsi="Segoe UI" w:cs="Segoe UI"/>
          <w:b/>
          <w:bCs/>
          <w:iCs/>
        </w:rPr>
      </w:pPr>
    </w:p>
    <w:p w14:paraId="25F85210" w14:textId="77777777" w:rsidR="007A4897" w:rsidRPr="007A4897" w:rsidRDefault="007A4897" w:rsidP="007A4897">
      <w:pPr>
        <w:jc w:val="both"/>
        <w:rPr>
          <w:rFonts w:ascii="Segoe UI" w:hAnsi="Segoe UI" w:cs="Segoe UI"/>
          <w:iCs/>
        </w:rPr>
      </w:pPr>
      <w:r w:rsidRPr="007A4897">
        <w:rPr>
          <w:rFonts w:ascii="Segoe UI" w:hAnsi="Segoe UI" w:cs="Segoe UI"/>
          <w:iCs/>
        </w:rPr>
        <w:t xml:space="preserve">HBsAg (Hepatitis B surface antigen) loss is an aspirational goal of current hepatitis B treatment. With new therapeutics currently being developed, tools predicting HBsAg loss is needed for clinical trial design. Fan </w:t>
      </w:r>
      <w:r w:rsidRPr="007A4897">
        <w:rPr>
          <w:rFonts w:ascii="Segoe UI" w:hAnsi="Segoe UI" w:cs="Segoe UI"/>
          <w:i/>
        </w:rPr>
        <w:t>et al.,</w:t>
      </w:r>
      <w:r w:rsidRPr="007A4897">
        <w:rPr>
          <w:rFonts w:ascii="Segoe UI" w:hAnsi="Segoe UI" w:cs="Segoe UI"/>
          <w:iCs/>
        </w:rPr>
        <w:t xml:space="preserve"> reports on the “GOLDEN” model, a discriminant analysis model based on multivariate mixed linear regression, which uses longitudinal </w:t>
      </w:r>
      <w:proofErr w:type="spellStart"/>
      <w:r w:rsidRPr="007A4897">
        <w:rPr>
          <w:rFonts w:ascii="Segoe UI" w:hAnsi="Segoe UI" w:cs="Segoe UI"/>
          <w:iCs/>
        </w:rPr>
        <w:t>qHBsAg</w:t>
      </w:r>
      <w:proofErr w:type="spellEnd"/>
      <w:r w:rsidRPr="007A4897">
        <w:rPr>
          <w:rFonts w:ascii="Segoe UI" w:hAnsi="Segoe UI" w:cs="Segoe UI"/>
          <w:iCs/>
        </w:rPr>
        <w:t xml:space="preserve"> (Quantitative HBsAg) measurements to predict HBsAg loss.</w:t>
      </w:r>
    </w:p>
    <w:p w14:paraId="4270F3C6" w14:textId="77777777" w:rsidR="007A4897" w:rsidRPr="007A4897" w:rsidRDefault="007A4897" w:rsidP="007A4897">
      <w:pPr>
        <w:jc w:val="both"/>
        <w:rPr>
          <w:rFonts w:ascii="Segoe UI" w:hAnsi="Segoe UI" w:cs="Segoe UI"/>
          <w:iCs/>
        </w:rPr>
      </w:pPr>
    </w:p>
    <w:p w14:paraId="0244C31B" w14:textId="77777777" w:rsidR="007A4897" w:rsidRPr="007A4897" w:rsidRDefault="007A4897" w:rsidP="007A4897">
      <w:pPr>
        <w:jc w:val="both"/>
        <w:rPr>
          <w:rFonts w:ascii="Segoe UI" w:hAnsi="Segoe UI" w:cs="Segoe UI"/>
          <w:iCs/>
        </w:rPr>
      </w:pPr>
      <w:r w:rsidRPr="007A4897">
        <w:rPr>
          <w:rFonts w:ascii="Segoe UI" w:hAnsi="Segoe UI" w:cs="Segoe UI"/>
          <w:iCs/>
        </w:rPr>
        <w:t xml:space="preserve">The model was developed with the SEARCH-B cohort, consisting of Chinese patients with chronic hepatitis B recruited between May 2014 - August 2018. Individuals with decompensated cirrhosis, hepatitis D, hepatitis C, hepatocellular carcinoma or liver transplantation were excluded from the study. HBsAg loss was defined as two measurements of undetectable </w:t>
      </w:r>
      <w:proofErr w:type="spellStart"/>
      <w:r w:rsidRPr="007A4897">
        <w:rPr>
          <w:rFonts w:ascii="Segoe UI" w:hAnsi="Segoe UI" w:cs="Segoe UI"/>
          <w:iCs/>
        </w:rPr>
        <w:t>qHBsAg</w:t>
      </w:r>
      <w:proofErr w:type="spellEnd"/>
      <w:r w:rsidRPr="007A4897">
        <w:rPr>
          <w:rFonts w:ascii="Segoe UI" w:hAnsi="Segoe UI" w:cs="Segoe UI"/>
          <w:iCs/>
        </w:rPr>
        <w:t xml:space="preserve"> at least 6 months apart. A total of 6792 individuals across 72423 visits was included in this study with a median follow-up of 65.6 months. Using a training (n=2835) and validation set (n=3957), the GOLDEN model gave an AUC (area under the curve) of 0.981, with similar model performance in subgroup analysis by sex, age (&gt;45 years vs. ≤45 years), cirrhosis status, </w:t>
      </w:r>
      <w:proofErr w:type="spellStart"/>
      <w:r w:rsidRPr="007A4897">
        <w:rPr>
          <w:rFonts w:ascii="Segoe UI" w:hAnsi="Segoe UI" w:cs="Segoe UI"/>
          <w:iCs/>
        </w:rPr>
        <w:t>HBeAg</w:t>
      </w:r>
      <w:proofErr w:type="spellEnd"/>
      <w:r w:rsidRPr="007A4897">
        <w:rPr>
          <w:rFonts w:ascii="Segoe UI" w:hAnsi="Segoe UI" w:cs="Segoe UI"/>
          <w:iCs/>
        </w:rPr>
        <w:t xml:space="preserve"> (Hepatitis B e antigen) positivity, duration of </w:t>
      </w:r>
      <w:proofErr w:type="spellStart"/>
      <w:r w:rsidRPr="007A4897">
        <w:rPr>
          <w:rFonts w:ascii="Segoe UI" w:hAnsi="Segoe UI" w:cs="Segoe UI"/>
          <w:iCs/>
        </w:rPr>
        <w:t>nucleos</w:t>
      </w:r>
      <w:proofErr w:type="spellEnd"/>
      <w:r w:rsidRPr="007A4897">
        <w:rPr>
          <w:rFonts w:ascii="Segoe UI" w:hAnsi="Segoe UI" w:cs="Segoe UI"/>
          <w:iCs/>
        </w:rPr>
        <w:t xml:space="preserve">(t)ide analogues treatment, drug withdrawal and </w:t>
      </w:r>
      <w:proofErr w:type="spellStart"/>
      <w:r w:rsidRPr="007A4897">
        <w:rPr>
          <w:rFonts w:ascii="Segoe UI" w:hAnsi="Segoe UI" w:cs="Segoe UI"/>
          <w:iCs/>
        </w:rPr>
        <w:t>qHBsAg</w:t>
      </w:r>
      <w:proofErr w:type="spellEnd"/>
      <w:r w:rsidRPr="007A4897">
        <w:rPr>
          <w:rFonts w:ascii="Segoe UI" w:hAnsi="Segoe UI" w:cs="Segoe UI"/>
          <w:iCs/>
        </w:rPr>
        <w:t xml:space="preserve"> at recruitment. Using the cutoff derived from Youden’s index, GOLDEN had a 98.8% sensitivity, 90% specificity, 26.2% PPV (positive predictive value) and 100% NPV (negative predictive value).  Median lead time was 18.94 months, with 61.99% of cases one year prior and further 38% at 6 months before HBsAg loss.</w:t>
      </w:r>
    </w:p>
    <w:p w14:paraId="22FDA3EC" w14:textId="77777777" w:rsidR="007A4897" w:rsidRPr="007A4897" w:rsidRDefault="007A4897" w:rsidP="007A4897">
      <w:pPr>
        <w:jc w:val="both"/>
        <w:rPr>
          <w:rFonts w:ascii="Segoe UI" w:hAnsi="Segoe UI" w:cs="Segoe UI"/>
          <w:iCs/>
        </w:rPr>
      </w:pPr>
    </w:p>
    <w:p w14:paraId="778668A7" w14:textId="77777777" w:rsidR="007A4897" w:rsidRPr="007A4897" w:rsidRDefault="007A4897" w:rsidP="007A4897">
      <w:pPr>
        <w:jc w:val="both"/>
        <w:rPr>
          <w:rFonts w:ascii="Segoe UI" w:hAnsi="Segoe UI" w:cs="Segoe UI"/>
          <w:iCs/>
        </w:rPr>
      </w:pPr>
      <w:r w:rsidRPr="007A4897">
        <w:rPr>
          <w:rFonts w:ascii="Segoe UI" w:hAnsi="Segoe UI" w:cs="Segoe UI"/>
          <w:iCs/>
        </w:rPr>
        <w:t xml:space="preserve">The GOLDEN model thus provides a means of predicting HBsAg loss using longitudinal </w:t>
      </w:r>
      <w:proofErr w:type="spellStart"/>
      <w:r w:rsidRPr="007A4897">
        <w:rPr>
          <w:rFonts w:ascii="Segoe UI" w:hAnsi="Segoe UI" w:cs="Segoe UI"/>
          <w:iCs/>
        </w:rPr>
        <w:t>qHBsAg</w:t>
      </w:r>
      <w:proofErr w:type="spellEnd"/>
      <w:r w:rsidRPr="007A4897">
        <w:rPr>
          <w:rFonts w:ascii="Segoe UI" w:hAnsi="Segoe UI" w:cs="Segoe UI"/>
          <w:iCs/>
        </w:rPr>
        <w:t xml:space="preserve"> levels. Further model testing in diverse ethnic groups, defining frequency of HBsAg measurement and refining predictors will help delineate its role.</w:t>
      </w:r>
    </w:p>
    <w:p w14:paraId="312A62B3" w14:textId="77777777" w:rsidR="008743EE" w:rsidRPr="002412EF" w:rsidRDefault="008743EE">
      <w:pPr>
        <w:rPr>
          <w:rFonts w:ascii="Segoe UI" w:hAnsi="Segoe UI" w:cs="Segoe UI"/>
          <w:sz w:val="28"/>
          <w:szCs w:val="28"/>
        </w:rPr>
      </w:pPr>
    </w:p>
    <w:sectPr w:rsidR="008743EE" w:rsidRPr="00241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EF"/>
    <w:rsid w:val="00163271"/>
    <w:rsid w:val="002412EF"/>
    <w:rsid w:val="002436A3"/>
    <w:rsid w:val="007A4897"/>
    <w:rsid w:val="008743EE"/>
    <w:rsid w:val="00E1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D937"/>
  <w15:chartTrackingRefBased/>
  <w15:docId w15:val="{C8C30EE4-19D0-497E-AC0E-B54A02BB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2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Mollie Preston</cp:lastModifiedBy>
  <cp:revision>2</cp:revision>
  <dcterms:created xsi:type="dcterms:W3CDTF">2024-11-06T10:33:00Z</dcterms:created>
  <dcterms:modified xsi:type="dcterms:W3CDTF">2024-11-06T10:33:00Z</dcterms:modified>
</cp:coreProperties>
</file>