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4BE8D875" w14:textId="77777777" w:rsidR="00276C84" w:rsidRDefault="00276C84" w:rsidP="00276C84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06395503" w14:textId="76E8DD5C" w:rsidR="00CE07EA" w:rsidRPr="00CE07EA" w:rsidRDefault="00CE07EA" w:rsidP="00CE07EA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CE07EA">
        <w:rPr>
          <w:rFonts w:cstheme="minorHAnsi"/>
          <w:b/>
          <w:bCs/>
          <w:iCs/>
          <w:sz w:val="28"/>
          <w:szCs w:val="28"/>
          <w:u w:val="single"/>
        </w:rPr>
        <w:t xml:space="preserve">Endoscopic papillectomy versus surgical </w:t>
      </w:r>
      <w:proofErr w:type="spellStart"/>
      <w:r w:rsidRPr="00CE07EA">
        <w:rPr>
          <w:rFonts w:cstheme="minorHAnsi"/>
          <w:b/>
          <w:bCs/>
          <w:iCs/>
          <w:sz w:val="28"/>
          <w:szCs w:val="28"/>
          <w:u w:val="single"/>
        </w:rPr>
        <w:t>ampullectomy</w:t>
      </w:r>
      <w:proofErr w:type="spellEnd"/>
      <w:r w:rsidRPr="00CE07EA">
        <w:rPr>
          <w:rFonts w:cstheme="minorHAnsi"/>
          <w:b/>
          <w:bCs/>
          <w:iCs/>
          <w:sz w:val="28"/>
          <w:szCs w:val="28"/>
          <w:u w:val="single"/>
        </w:rPr>
        <w:t xml:space="preserve"> for adenomas and early cancers of the papilla: a retrospective Pancreas2000/European Pancreatic Club analysis</w:t>
      </w:r>
    </w:p>
    <w:p w14:paraId="607F0DDC" w14:textId="77777777" w:rsidR="00CE07EA" w:rsidRPr="00CE07EA" w:rsidRDefault="00CE07EA" w:rsidP="00CE07EA">
      <w:pPr>
        <w:jc w:val="both"/>
        <w:rPr>
          <w:rFonts w:cstheme="minorHAnsi"/>
          <w:i/>
          <w:sz w:val="28"/>
          <w:szCs w:val="28"/>
        </w:rPr>
      </w:pPr>
      <w:proofErr w:type="spellStart"/>
      <w:r w:rsidRPr="00CE07EA">
        <w:rPr>
          <w:rFonts w:cstheme="minorHAnsi"/>
          <w:i/>
          <w:sz w:val="28"/>
          <w:szCs w:val="28"/>
        </w:rPr>
        <w:t>Hollenbach</w:t>
      </w:r>
      <w:proofErr w:type="spellEnd"/>
      <w:r w:rsidRPr="00CE07EA">
        <w:rPr>
          <w:rFonts w:cstheme="minorHAnsi"/>
          <w:i/>
          <w:sz w:val="28"/>
          <w:szCs w:val="28"/>
        </w:rPr>
        <w:t xml:space="preserve"> M, </w:t>
      </w:r>
      <w:proofErr w:type="spellStart"/>
      <w:r w:rsidRPr="00CE07EA">
        <w:rPr>
          <w:rFonts w:cstheme="minorHAnsi"/>
          <w:i/>
          <w:sz w:val="28"/>
          <w:szCs w:val="28"/>
        </w:rPr>
        <w:t>Heise</w:t>
      </w:r>
      <w:proofErr w:type="spellEnd"/>
      <w:r w:rsidRPr="00CE07EA">
        <w:rPr>
          <w:rFonts w:cstheme="minorHAnsi"/>
          <w:i/>
          <w:sz w:val="28"/>
          <w:szCs w:val="28"/>
        </w:rPr>
        <w:t xml:space="preserve"> C, Abou-Ali E, et al. Endoscopic papillectomy versus surgical </w:t>
      </w:r>
      <w:proofErr w:type="spellStart"/>
      <w:r w:rsidRPr="00CE07EA">
        <w:rPr>
          <w:rFonts w:cstheme="minorHAnsi"/>
          <w:i/>
          <w:sz w:val="28"/>
          <w:szCs w:val="28"/>
        </w:rPr>
        <w:t>ampullectomy</w:t>
      </w:r>
      <w:proofErr w:type="spellEnd"/>
      <w:r w:rsidRPr="00CE07EA">
        <w:rPr>
          <w:rFonts w:cstheme="minorHAnsi"/>
          <w:i/>
          <w:sz w:val="28"/>
          <w:szCs w:val="28"/>
        </w:rPr>
        <w:t xml:space="preserve"> for adenomas and early cancers of the papilla: a retrospective Pancreas2000/European Pancreatic Club analysis. Gut 2025; 74(3):397-409. </w:t>
      </w:r>
      <w:proofErr w:type="spellStart"/>
      <w:r w:rsidRPr="00CE07EA">
        <w:rPr>
          <w:rFonts w:cstheme="minorHAnsi"/>
          <w:i/>
          <w:sz w:val="28"/>
          <w:szCs w:val="28"/>
        </w:rPr>
        <w:t>doi</w:t>
      </w:r>
      <w:proofErr w:type="spellEnd"/>
      <w:r w:rsidRPr="00CE07EA">
        <w:rPr>
          <w:rFonts w:cstheme="minorHAnsi"/>
          <w:i/>
          <w:sz w:val="28"/>
          <w:szCs w:val="28"/>
        </w:rPr>
        <w:t>: 10.1136/gutjnl-2022-327996.</w:t>
      </w:r>
    </w:p>
    <w:p w14:paraId="05438C7D" w14:textId="77777777" w:rsidR="00CE07EA" w:rsidRPr="00CE07EA" w:rsidRDefault="00CE07EA" w:rsidP="00CE07EA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141EFA78" w14:textId="1E2CA3C5" w:rsidR="00CE07EA" w:rsidRPr="00CE07EA" w:rsidRDefault="00CE07EA" w:rsidP="00CE07EA">
      <w:pPr>
        <w:jc w:val="both"/>
        <w:rPr>
          <w:rFonts w:cstheme="minorHAnsi"/>
          <w:iCs/>
          <w:sz w:val="28"/>
          <w:szCs w:val="28"/>
        </w:rPr>
      </w:pPr>
      <w:r w:rsidRPr="00CE07EA">
        <w:rPr>
          <w:rFonts w:cstheme="minorHAnsi"/>
          <w:iCs/>
          <w:sz w:val="28"/>
          <w:szCs w:val="28"/>
        </w:rPr>
        <w:t xml:space="preserve">Ampullary lesions, are a rare disease with a potential for malignant transformation and should be completely resected. Resection can be either endoscopic papillectomy (EP) or </w:t>
      </w:r>
      <w:proofErr w:type="spellStart"/>
      <w:r w:rsidRPr="00CE07EA">
        <w:rPr>
          <w:rFonts w:cstheme="minorHAnsi"/>
          <w:iCs/>
          <w:sz w:val="28"/>
          <w:szCs w:val="28"/>
        </w:rPr>
        <w:t>transduodenal</w:t>
      </w:r>
      <w:proofErr w:type="spellEnd"/>
      <w:r w:rsidRPr="00CE07EA">
        <w:rPr>
          <w:rFonts w:cstheme="minorHAnsi"/>
          <w:iCs/>
          <w:sz w:val="28"/>
          <w:szCs w:val="28"/>
        </w:rPr>
        <w:t xml:space="preserve"> surgical </w:t>
      </w:r>
      <w:proofErr w:type="spellStart"/>
      <w:r w:rsidRPr="00CE07EA">
        <w:rPr>
          <w:rFonts w:cstheme="minorHAnsi"/>
          <w:iCs/>
          <w:sz w:val="28"/>
          <w:szCs w:val="28"/>
        </w:rPr>
        <w:t>ampullectomy</w:t>
      </w:r>
      <w:proofErr w:type="spellEnd"/>
      <w:r w:rsidRPr="00CE07EA">
        <w:rPr>
          <w:rFonts w:cstheme="minorHAnsi"/>
          <w:iCs/>
          <w:sz w:val="28"/>
          <w:szCs w:val="28"/>
        </w:rPr>
        <w:t xml:space="preserve"> (TSA), while pancreaticoduodenectomy (PDD) is reserved for more advanced lesions. Evidence is limited with mostly single-centre series comparing EP and surgical procedures.</w:t>
      </w:r>
    </w:p>
    <w:p w14:paraId="33A06663" w14:textId="7F443BCA" w:rsidR="00CE07EA" w:rsidRPr="00CE07EA" w:rsidRDefault="00CE07EA" w:rsidP="00CE07EA">
      <w:pPr>
        <w:jc w:val="both"/>
        <w:rPr>
          <w:rFonts w:cstheme="minorHAnsi"/>
          <w:iCs/>
          <w:sz w:val="28"/>
          <w:szCs w:val="28"/>
        </w:rPr>
      </w:pPr>
      <w:proofErr w:type="spellStart"/>
      <w:r w:rsidRPr="00CE07EA">
        <w:rPr>
          <w:rFonts w:cstheme="minorHAnsi"/>
          <w:iCs/>
          <w:sz w:val="28"/>
          <w:szCs w:val="28"/>
        </w:rPr>
        <w:t>Hollenbach</w:t>
      </w:r>
      <w:proofErr w:type="spellEnd"/>
      <w:r w:rsidRPr="00CE07EA">
        <w:rPr>
          <w:rFonts w:cstheme="minorHAnsi"/>
          <w:iCs/>
          <w:sz w:val="28"/>
          <w:szCs w:val="28"/>
        </w:rPr>
        <w:t xml:space="preserve"> </w:t>
      </w:r>
      <w:r w:rsidRPr="00CE07EA">
        <w:rPr>
          <w:rFonts w:cstheme="minorHAnsi"/>
          <w:i/>
          <w:iCs/>
          <w:sz w:val="28"/>
          <w:szCs w:val="28"/>
        </w:rPr>
        <w:t>et al.,</w:t>
      </w:r>
      <w:r w:rsidRPr="00CE07EA">
        <w:rPr>
          <w:rFonts w:cstheme="minorHAnsi"/>
          <w:iCs/>
          <w:sz w:val="28"/>
          <w:szCs w:val="28"/>
        </w:rPr>
        <w:t xml:space="preserve"> used the database of the ESAP study (Endoscopic Papillectomy vs. Surgical </w:t>
      </w:r>
      <w:proofErr w:type="spellStart"/>
      <w:r w:rsidRPr="00CE07EA">
        <w:rPr>
          <w:rFonts w:cstheme="minorHAnsi"/>
          <w:iCs/>
          <w:sz w:val="28"/>
          <w:szCs w:val="28"/>
        </w:rPr>
        <w:t>Ampullectomy</w:t>
      </w:r>
      <w:proofErr w:type="spellEnd"/>
      <w:r w:rsidRPr="00CE07EA">
        <w:rPr>
          <w:rFonts w:cstheme="minorHAnsi"/>
          <w:iCs/>
          <w:sz w:val="28"/>
          <w:szCs w:val="28"/>
        </w:rPr>
        <w:t xml:space="preserve"> vs. Pancreaticoduodenectomy for ampullary neoplasm). Cases were analysed after propensity-score matching (nearest-neighbour-method). A minimum follow-up of 12 months or until death after the first intervention with clinical, endoscopic and/or cross-sectional imaging after resection was required. Primary outcomes were rates of complete resection (R0) and complications. </w:t>
      </w:r>
    </w:p>
    <w:p w14:paraId="1A5648D8" w14:textId="6DEA35D4" w:rsidR="00CE07EA" w:rsidRPr="00CE07EA" w:rsidRDefault="00CE07EA" w:rsidP="00CE07EA">
      <w:pPr>
        <w:jc w:val="both"/>
        <w:rPr>
          <w:rFonts w:cstheme="minorHAnsi"/>
          <w:iCs/>
          <w:sz w:val="28"/>
          <w:szCs w:val="28"/>
        </w:rPr>
      </w:pPr>
      <w:r w:rsidRPr="00CE07EA">
        <w:rPr>
          <w:rFonts w:cstheme="minorHAnsi"/>
          <w:iCs/>
          <w:sz w:val="28"/>
          <w:szCs w:val="28"/>
        </w:rPr>
        <w:t xml:space="preserve">24.2% of EP and 14.8% of TSA patients had histology other than adenoma or adenocarcinoma while advanced cancers were recorded in 10.9% of EP and 36.6% of TSA patients. There was a higher rate of more advanced cases and higher R0 resection rates in the TSA groups (90.5% vs. 73.1%; p&lt;0.01), with additional ablation in the EP group in 14.4%. Severe adverse event (AE) rates were 3.2% (TSA) vs. 1.9% (EP). Recurrence after histological R0 resection was 16% (EP) vs. 3.2% (TSA; p=0.01), and additional therapy for R1 resection was applied in 67% of the 159 cases. Propensity-score-based matching identified 62 pairs of EP/TSA patients. The initial R0 rate was 72.6% (EP) compared with 90.3% (TSA, p=0.02) with recurrences found in 8% (EP) vs. 3.2% (TSA; p=0.07); </w:t>
      </w:r>
      <w:r w:rsidRPr="00CE07EA">
        <w:rPr>
          <w:rFonts w:cstheme="minorHAnsi"/>
          <w:iCs/>
          <w:sz w:val="28"/>
          <w:szCs w:val="28"/>
        </w:rPr>
        <w:lastRenderedPageBreak/>
        <w:t>reinterventions were more frequent in the EP group. Overall survival was comparable; however, the study was designed to analyse survival.</w:t>
      </w:r>
    </w:p>
    <w:p w14:paraId="7B3545A1" w14:textId="77777777" w:rsidR="00CE07EA" w:rsidRPr="00CE07EA" w:rsidRDefault="00CE07EA" w:rsidP="00CE07EA">
      <w:pPr>
        <w:jc w:val="both"/>
        <w:rPr>
          <w:rFonts w:cstheme="minorHAnsi"/>
          <w:iCs/>
          <w:sz w:val="28"/>
          <w:szCs w:val="28"/>
        </w:rPr>
      </w:pPr>
      <w:r w:rsidRPr="00CE07EA">
        <w:rPr>
          <w:rFonts w:cstheme="minorHAnsi"/>
          <w:iCs/>
          <w:sz w:val="28"/>
          <w:szCs w:val="28"/>
        </w:rPr>
        <w:t xml:space="preserve">Both EP and TSA showed high rates of poor indications (non-neoplastic disease) or advanced cancer with EP requiring multiple retreatments. </w:t>
      </w:r>
      <w:proofErr w:type="spellStart"/>
      <w:r w:rsidRPr="00CE07EA">
        <w:rPr>
          <w:rFonts w:cstheme="minorHAnsi"/>
          <w:iCs/>
          <w:sz w:val="28"/>
          <w:szCs w:val="28"/>
        </w:rPr>
        <w:t>Hollenbach</w:t>
      </w:r>
      <w:proofErr w:type="spellEnd"/>
      <w:r w:rsidRPr="00CE07EA">
        <w:rPr>
          <w:rFonts w:cstheme="minorHAnsi"/>
          <w:iCs/>
          <w:sz w:val="28"/>
          <w:szCs w:val="28"/>
        </w:rPr>
        <w:t xml:space="preserve"> </w:t>
      </w:r>
      <w:r w:rsidRPr="00CE07EA">
        <w:rPr>
          <w:rFonts w:cstheme="minorHAnsi"/>
          <w:i/>
          <w:iCs/>
          <w:sz w:val="28"/>
          <w:szCs w:val="28"/>
        </w:rPr>
        <w:t>et al.,</w:t>
      </w:r>
      <w:r w:rsidRPr="00CE07EA">
        <w:rPr>
          <w:rFonts w:cstheme="minorHAnsi"/>
          <w:iCs/>
          <w:sz w:val="28"/>
          <w:szCs w:val="28"/>
        </w:rPr>
        <w:t xml:space="preserve"> concluded in selected patients, that EP could be considered first, when R0 resection appears feasible. Case selection and step-up approaches should be studied further.</w:t>
      </w:r>
    </w:p>
    <w:p w14:paraId="359AD71F" w14:textId="4E870174" w:rsidR="00C8554A" w:rsidRPr="00E46D7A" w:rsidRDefault="00C8554A" w:rsidP="00CE07EA">
      <w:pPr>
        <w:jc w:val="both"/>
        <w:rPr>
          <w:rFonts w:cstheme="minorHAnsi"/>
          <w:iCs/>
          <w:sz w:val="24"/>
          <w:szCs w:val="24"/>
        </w:rPr>
      </w:pPr>
    </w:p>
    <w:sectPr w:rsidR="00C8554A" w:rsidRPr="00E46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153B0"/>
    <w:rsid w:val="000431EB"/>
    <w:rsid w:val="00093C9A"/>
    <w:rsid w:val="001516B4"/>
    <w:rsid w:val="00163271"/>
    <w:rsid w:val="0019001B"/>
    <w:rsid w:val="00276C84"/>
    <w:rsid w:val="00317CD9"/>
    <w:rsid w:val="003960AF"/>
    <w:rsid w:val="004B4D31"/>
    <w:rsid w:val="005E2702"/>
    <w:rsid w:val="006360D2"/>
    <w:rsid w:val="00665E23"/>
    <w:rsid w:val="007860FE"/>
    <w:rsid w:val="007B2395"/>
    <w:rsid w:val="00835646"/>
    <w:rsid w:val="008743EE"/>
    <w:rsid w:val="00982135"/>
    <w:rsid w:val="00996C64"/>
    <w:rsid w:val="00BD133C"/>
    <w:rsid w:val="00BE5DFA"/>
    <w:rsid w:val="00C8554A"/>
    <w:rsid w:val="00CE07EA"/>
    <w:rsid w:val="00D20090"/>
    <w:rsid w:val="00E45986"/>
    <w:rsid w:val="00E46D7A"/>
    <w:rsid w:val="00E833DF"/>
    <w:rsid w:val="00EB4F0B"/>
    <w:rsid w:val="00F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2130</Characters>
  <Application>Microsoft Office Word</Application>
  <DocSecurity>0</DocSecurity>
  <Lines>40</Lines>
  <Paragraphs>9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2025-04-07T08:20:00Z</dcterms:created>
  <dcterms:modified xsi:type="dcterms:W3CDTF">2025-04-07T08:20:00Z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3cd44c8d0ad1f7474cda6eda92414b0df88d26d8993e81e79f5bbad13d153e8b</vt:lpwstr>
  </property>
</Properties>
</file>