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4FFF57B5" w14:textId="62E1A2D5" w:rsidR="00516AFF" w:rsidRPr="00516AFF" w:rsidRDefault="00516AFF" w:rsidP="00516AFF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516AFF">
        <w:rPr>
          <w:rFonts w:cstheme="minorHAnsi"/>
          <w:b/>
          <w:bCs/>
          <w:iCs/>
          <w:sz w:val="28"/>
          <w:szCs w:val="28"/>
          <w:u w:val="single"/>
        </w:rPr>
        <w:t>Glucagon-like peptide-1 receptor agonist use is associated with a lower risk of major adverse liver-related outcomes</w:t>
      </w:r>
    </w:p>
    <w:p w14:paraId="11D4A408" w14:textId="77777777" w:rsidR="00516AFF" w:rsidRPr="00516AFF" w:rsidRDefault="00516AFF" w:rsidP="00516AFF">
      <w:pPr>
        <w:jc w:val="both"/>
        <w:rPr>
          <w:rFonts w:cstheme="minorHAnsi"/>
          <w:iCs/>
          <w:sz w:val="28"/>
          <w:szCs w:val="28"/>
          <w:u w:val="single"/>
        </w:rPr>
      </w:pPr>
      <w:r w:rsidRPr="00516AFF">
        <w:rPr>
          <w:rFonts w:cstheme="minorHAnsi"/>
          <w:iCs/>
          <w:sz w:val="28"/>
          <w:szCs w:val="28"/>
          <w:u w:val="single"/>
        </w:rPr>
        <w:t xml:space="preserve">Celsa C, </w:t>
      </w:r>
      <w:proofErr w:type="spellStart"/>
      <w:r w:rsidRPr="00516AFF">
        <w:rPr>
          <w:rFonts w:cstheme="minorHAnsi"/>
          <w:iCs/>
          <w:sz w:val="28"/>
          <w:szCs w:val="28"/>
          <w:u w:val="single"/>
        </w:rPr>
        <w:t>Pennisi</w:t>
      </w:r>
      <w:proofErr w:type="spellEnd"/>
      <w:r w:rsidRPr="00516AFF">
        <w:rPr>
          <w:rFonts w:cstheme="minorHAnsi"/>
          <w:iCs/>
          <w:sz w:val="28"/>
          <w:szCs w:val="28"/>
          <w:u w:val="single"/>
        </w:rPr>
        <w:t xml:space="preserve"> G, </w:t>
      </w:r>
      <w:proofErr w:type="spellStart"/>
      <w:r w:rsidRPr="00516AFF">
        <w:rPr>
          <w:rFonts w:cstheme="minorHAnsi"/>
          <w:iCs/>
          <w:sz w:val="28"/>
          <w:szCs w:val="28"/>
          <w:u w:val="single"/>
        </w:rPr>
        <w:t>Tulone</w:t>
      </w:r>
      <w:proofErr w:type="spellEnd"/>
      <w:r w:rsidRPr="00516AFF">
        <w:rPr>
          <w:rFonts w:cstheme="minorHAnsi"/>
          <w:iCs/>
          <w:sz w:val="28"/>
          <w:szCs w:val="28"/>
          <w:u w:val="single"/>
        </w:rPr>
        <w:t xml:space="preserve"> A, et al. Glucagon-like peptide-1 receptor agonist use is associated with a lower risk of major adverse liver-related outcomes: a meta-analysis of observational cohort studies. Gut 2025; 74: 815-824. </w:t>
      </w:r>
      <w:proofErr w:type="spellStart"/>
      <w:r w:rsidRPr="00516AFF">
        <w:rPr>
          <w:rFonts w:cstheme="minorHAnsi"/>
          <w:iCs/>
          <w:sz w:val="28"/>
          <w:szCs w:val="28"/>
          <w:u w:val="single"/>
        </w:rPr>
        <w:t>doi</w:t>
      </w:r>
      <w:proofErr w:type="spellEnd"/>
      <w:r w:rsidRPr="00516AFF">
        <w:rPr>
          <w:rFonts w:cstheme="minorHAnsi"/>
          <w:iCs/>
          <w:sz w:val="28"/>
          <w:szCs w:val="28"/>
          <w:u w:val="single"/>
        </w:rPr>
        <w:t xml:space="preserve">: 10.1136/gutjnl-2024-334591. </w:t>
      </w:r>
    </w:p>
    <w:p w14:paraId="25A58240" w14:textId="77777777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</w:p>
    <w:p w14:paraId="041B6C58" w14:textId="66446FF4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  <w:r w:rsidRPr="00516AFF">
        <w:rPr>
          <w:rFonts w:cstheme="minorHAnsi"/>
          <w:iCs/>
          <w:sz w:val="28"/>
          <w:szCs w:val="28"/>
        </w:rPr>
        <w:t xml:space="preserve">The hepatoprotective effects of glucagon-like peptide-1 receptor agonists (GLP-1 RAs) have been promising according to the findings of phase 2 trials on patients with metabolic dysfunction-associated </w:t>
      </w:r>
      <w:proofErr w:type="spellStart"/>
      <w:r w:rsidRPr="00516AFF">
        <w:rPr>
          <w:rFonts w:cstheme="minorHAnsi"/>
          <w:iCs/>
          <w:sz w:val="28"/>
          <w:szCs w:val="28"/>
        </w:rPr>
        <w:t>steatotic</w:t>
      </w:r>
      <w:proofErr w:type="spellEnd"/>
      <w:r w:rsidRPr="00516AFF">
        <w:rPr>
          <w:rFonts w:cstheme="minorHAnsi"/>
          <w:iCs/>
          <w:sz w:val="28"/>
          <w:szCs w:val="28"/>
        </w:rPr>
        <w:t xml:space="preserve"> liver disease (MASLD). However, the impact of GLP-1RAs on the long-term risk of major adverse liver- related outcomes (MALOs) remains unclear.</w:t>
      </w:r>
    </w:p>
    <w:p w14:paraId="55E2FC73" w14:textId="3B17ACF8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  <w:r w:rsidRPr="00516AFF">
        <w:rPr>
          <w:rFonts w:cstheme="minorHAnsi"/>
          <w:iCs/>
          <w:sz w:val="28"/>
          <w:szCs w:val="28"/>
        </w:rPr>
        <w:t>In this study, Celsa et al. conducted a meta-analysis of observational cohort studies to elucidate the association between GLP-1RAs and MALOs in patients with type 2 diabetes (T2D). Cohort studies comparing GLP-1RA new users versus users of other glucose-lowering medications were included. The primary outcome was the cumulative incidence rates of MALOs. Secondary outcomes included hepatic decompensation events, hepatocellular carcinoma (HCC) and liver-related mortality.</w:t>
      </w:r>
    </w:p>
    <w:p w14:paraId="7FFBAAE7" w14:textId="77777777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  <w:r w:rsidRPr="00516AFF">
        <w:rPr>
          <w:rFonts w:cstheme="minorHAnsi"/>
          <w:iCs/>
          <w:sz w:val="28"/>
          <w:szCs w:val="28"/>
        </w:rPr>
        <w:t>Eleven retrospective cohort studies, including data from over 1.4 million patients with type 2 diabetes (T2D), were analysed. Use of GLP-1 RAs was associated with a 29% reduction in the incidence of MALOs and a 30% reduction in liver decompensation. Although the incidence of HCC was reduced by 18%, this finding was not statistically significant. Compared to sodium-glucose cotransporter-2 (SGLT2) inhibitors, GLP-1 RAs demonstrated a 7% greater reduction in MALOs. A 26% reduction in liver decompensation was also observed when compared with Dipeptidyl peptidase-4 (DPP-4) inhibitors. Furthermore, GLP-1 RA use was associated with a 68% lower incidence of HCC compared to insulin therapy. Ten of the eleven studies were rated as having a moderate risk of bias.</w:t>
      </w:r>
    </w:p>
    <w:p w14:paraId="74D86C08" w14:textId="77777777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</w:p>
    <w:p w14:paraId="2DB56286" w14:textId="77777777" w:rsidR="00516AFF" w:rsidRPr="00516AFF" w:rsidRDefault="00516AFF" w:rsidP="00516AFF">
      <w:pPr>
        <w:jc w:val="both"/>
        <w:rPr>
          <w:rFonts w:cstheme="minorHAnsi"/>
          <w:iCs/>
          <w:sz w:val="28"/>
          <w:szCs w:val="28"/>
        </w:rPr>
      </w:pPr>
      <w:r w:rsidRPr="00516AFF">
        <w:rPr>
          <w:rFonts w:cstheme="minorHAnsi"/>
          <w:iCs/>
          <w:sz w:val="28"/>
          <w:szCs w:val="28"/>
        </w:rPr>
        <w:lastRenderedPageBreak/>
        <w:t>This meta-analysis demonstrated that the benefits of GLP-1 RAs extended beyond their well-established cardiometabolic effects, showing a reduction in long-term liver-related complications in patients with T2D. Future well-designed observational studies, particularly those with emulated trial designs and long-term follow-up, are needed to better characterize the long-term impact of GLP-1 RAs on liver-related complications and HCC development.</w:t>
      </w:r>
    </w:p>
    <w:p w14:paraId="359AD71F" w14:textId="423AB668" w:rsidR="00C8554A" w:rsidRPr="0021171F" w:rsidRDefault="00C8554A" w:rsidP="00516AFF">
      <w:pPr>
        <w:jc w:val="both"/>
        <w:rPr>
          <w:rFonts w:cstheme="minorHAnsi"/>
          <w:iCs/>
          <w:sz w:val="28"/>
          <w:szCs w:val="28"/>
        </w:rPr>
      </w:pPr>
    </w:p>
    <w:sectPr w:rsidR="00C8554A" w:rsidRPr="00211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21171F"/>
    <w:rsid w:val="00225FFA"/>
    <w:rsid w:val="00317CD9"/>
    <w:rsid w:val="00325EE5"/>
    <w:rsid w:val="004B4D31"/>
    <w:rsid w:val="00516AFF"/>
    <w:rsid w:val="00551781"/>
    <w:rsid w:val="005E2702"/>
    <w:rsid w:val="006360D2"/>
    <w:rsid w:val="00665E23"/>
    <w:rsid w:val="007B2395"/>
    <w:rsid w:val="007E13D5"/>
    <w:rsid w:val="00835646"/>
    <w:rsid w:val="00845F78"/>
    <w:rsid w:val="008743EE"/>
    <w:rsid w:val="008D5E63"/>
    <w:rsid w:val="00966D13"/>
    <w:rsid w:val="00996C64"/>
    <w:rsid w:val="00B05378"/>
    <w:rsid w:val="00C6293C"/>
    <w:rsid w:val="00C8554A"/>
    <w:rsid w:val="00C94ADA"/>
    <w:rsid w:val="00D6769F"/>
    <w:rsid w:val="00DA4F90"/>
    <w:rsid w:val="00DE76EC"/>
    <w:rsid w:val="00E45986"/>
    <w:rsid w:val="00E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2078</Characters>
  <Application>Microsoft Office Word</Application>
  <DocSecurity>0</DocSecurity>
  <Lines>37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2025-06-18T10:58:00Z</dcterms:created>
  <dcterms:modified xsi:type="dcterms:W3CDTF">2025-06-18T10:58:00Z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