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B69B" w14:textId="0B7D7A2E" w:rsidR="002412EF" w:rsidRDefault="002412EF" w:rsidP="002412EF">
      <w:pPr>
        <w:jc w:val="both"/>
        <w:rPr>
          <w:rFonts w:asciiTheme="minorHAnsi" w:hAnsiTheme="minorHAnsi" w:cstheme="minorHAnsi"/>
          <w:b/>
          <w:bCs/>
          <w:iCs/>
          <w:sz w:val="22"/>
          <w:szCs w:val="22"/>
        </w:rPr>
      </w:pPr>
    </w:p>
    <w:p w14:paraId="5E915ECA" w14:textId="67C4DAC0" w:rsidR="002412EF" w:rsidRDefault="002412EF" w:rsidP="002412EF">
      <w:pPr>
        <w:jc w:val="both"/>
        <w:rPr>
          <w:rFonts w:asciiTheme="minorHAnsi" w:hAnsiTheme="minorHAnsi" w:cstheme="minorHAnsi"/>
          <w:b/>
          <w:bCs/>
          <w:iCs/>
          <w:sz w:val="22"/>
          <w:szCs w:val="22"/>
        </w:rPr>
      </w:pPr>
      <w:r>
        <w:rPr>
          <w:rFonts w:ascii="Segoe UI" w:hAnsi="Segoe UI" w:cs="Segoe UI"/>
          <w:b/>
          <w:bCs/>
          <w:noProof/>
          <w:color w:val="212529"/>
          <w14:ligatures w14:val="standardContextual"/>
        </w:rPr>
        <w:drawing>
          <wp:anchor distT="0" distB="0" distL="114300" distR="114300" simplePos="0" relativeHeight="251659264" behindDoc="0" locked="0" layoutInCell="1" allowOverlap="1" wp14:anchorId="59FAF21C" wp14:editId="0608DFC1">
            <wp:simplePos x="0" y="0"/>
            <wp:positionH relativeFrom="margin">
              <wp:align>center</wp:align>
            </wp:positionH>
            <wp:positionV relativeFrom="paragraph">
              <wp:posOffset>4445</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1615FF8B" w14:textId="77777777" w:rsidR="002412EF" w:rsidRDefault="002412EF" w:rsidP="002412EF">
      <w:pPr>
        <w:jc w:val="both"/>
        <w:rPr>
          <w:rFonts w:asciiTheme="minorHAnsi" w:hAnsiTheme="minorHAnsi" w:cstheme="minorHAnsi"/>
          <w:b/>
          <w:bCs/>
          <w:iCs/>
          <w:sz w:val="22"/>
          <w:szCs w:val="22"/>
        </w:rPr>
      </w:pPr>
    </w:p>
    <w:p w14:paraId="48C9A369" w14:textId="77777777" w:rsidR="002412EF" w:rsidRDefault="002412EF" w:rsidP="002412EF">
      <w:pPr>
        <w:jc w:val="both"/>
        <w:rPr>
          <w:rFonts w:asciiTheme="minorHAnsi" w:hAnsiTheme="minorHAnsi" w:cstheme="minorHAnsi"/>
          <w:b/>
          <w:bCs/>
          <w:iCs/>
          <w:sz w:val="22"/>
          <w:szCs w:val="22"/>
        </w:rPr>
      </w:pPr>
    </w:p>
    <w:p w14:paraId="5243DDC3" w14:textId="77777777" w:rsidR="002412EF" w:rsidRDefault="002412EF" w:rsidP="002412EF">
      <w:pPr>
        <w:jc w:val="both"/>
        <w:rPr>
          <w:rFonts w:asciiTheme="minorHAnsi" w:hAnsiTheme="minorHAnsi" w:cstheme="minorHAnsi"/>
          <w:b/>
          <w:bCs/>
          <w:iCs/>
          <w:sz w:val="22"/>
          <w:szCs w:val="22"/>
        </w:rPr>
      </w:pPr>
    </w:p>
    <w:p w14:paraId="4EE898B9" w14:textId="77777777" w:rsidR="002412EF" w:rsidRDefault="002412EF" w:rsidP="002412EF">
      <w:pPr>
        <w:jc w:val="both"/>
        <w:rPr>
          <w:rFonts w:asciiTheme="minorHAnsi" w:hAnsiTheme="minorHAnsi" w:cstheme="minorHAnsi"/>
          <w:b/>
          <w:bCs/>
          <w:iCs/>
          <w:sz w:val="22"/>
          <w:szCs w:val="22"/>
        </w:rPr>
      </w:pPr>
    </w:p>
    <w:p w14:paraId="15EDC095" w14:textId="77777777" w:rsidR="002412EF" w:rsidRDefault="002412EF" w:rsidP="002412EF">
      <w:pPr>
        <w:jc w:val="both"/>
        <w:rPr>
          <w:rFonts w:asciiTheme="minorHAnsi" w:hAnsiTheme="minorHAnsi" w:cstheme="minorHAnsi"/>
          <w:b/>
          <w:bCs/>
          <w:iCs/>
          <w:sz w:val="22"/>
          <w:szCs w:val="22"/>
        </w:rPr>
      </w:pPr>
    </w:p>
    <w:p w14:paraId="2DA61252" w14:textId="77777777" w:rsidR="00147A38" w:rsidRPr="00147A38" w:rsidRDefault="00147A38" w:rsidP="00147A38">
      <w:pPr>
        <w:jc w:val="both"/>
        <w:rPr>
          <w:rFonts w:asciiTheme="minorHAnsi" w:hAnsiTheme="minorHAnsi" w:cstheme="minorHAnsi"/>
          <w:b/>
          <w:bCs/>
        </w:rPr>
      </w:pPr>
      <w:r w:rsidRPr="00147A38">
        <w:rPr>
          <w:rFonts w:asciiTheme="minorHAnsi" w:hAnsiTheme="minorHAnsi" w:cstheme="minorHAnsi"/>
          <w:b/>
          <w:bCs/>
        </w:rPr>
        <w:t xml:space="preserve">Multiple indicators of gut dysbiosis predict mortality in solid organ transplant </w:t>
      </w:r>
      <w:proofErr w:type="gramStart"/>
      <w:r w:rsidRPr="00147A38">
        <w:rPr>
          <w:rFonts w:asciiTheme="minorHAnsi" w:hAnsiTheme="minorHAnsi" w:cstheme="minorHAnsi"/>
          <w:b/>
          <w:bCs/>
        </w:rPr>
        <w:t>recipients</w:t>
      </w:r>
      <w:proofErr w:type="gramEnd"/>
    </w:p>
    <w:p w14:paraId="57199487" w14:textId="77777777" w:rsidR="00147A38" w:rsidRPr="00147A38" w:rsidRDefault="00147A38" w:rsidP="00147A38">
      <w:pPr>
        <w:jc w:val="both"/>
        <w:rPr>
          <w:rFonts w:asciiTheme="minorHAnsi" w:hAnsiTheme="minorHAnsi" w:cstheme="minorHAnsi"/>
          <w:b/>
          <w:bCs/>
        </w:rPr>
      </w:pPr>
    </w:p>
    <w:p w14:paraId="0B63D67D" w14:textId="77777777" w:rsidR="00147A38" w:rsidRPr="00147A38" w:rsidRDefault="00147A38" w:rsidP="00147A38">
      <w:pPr>
        <w:jc w:val="both"/>
        <w:rPr>
          <w:rFonts w:asciiTheme="minorHAnsi" w:hAnsiTheme="minorHAnsi" w:cstheme="minorHAnsi"/>
        </w:rPr>
      </w:pPr>
      <w:proofErr w:type="spellStart"/>
      <w:r w:rsidRPr="00147A38">
        <w:rPr>
          <w:rFonts w:asciiTheme="minorHAnsi" w:hAnsiTheme="minorHAnsi" w:cstheme="minorHAnsi"/>
        </w:rPr>
        <w:t>Swarte</w:t>
      </w:r>
      <w:proofErr w:type="spellEnd"/>
      <w:r w:rsidRPr="00147A38">
        <w:rPr>
          <w:rFonts w:asciiTheme="minorHAnsi" w:hAnsiTheme="minorHAnsi" w:cstheme="minorHAnsi"/>
        </w:rPr>
        <w:t xml:space="preserve"> J, Zhang S, </w:t>
      </w:r>
      <w:proofErr w:type="spellStart"/>
      <w:r w:rsidRPr="00147A38">
        <w:rPr>
          <w:rFonts w:asciiTheme="minorHAnsi" w:hAnsiTheme="minorHAnsi" w:cstheme="minorHAnsi"/>
        </w:rPr>
        <w:t>Nieuwenhuis</w:t>
      </w:r>
      <w:proofErr w:type="spellEnd"/>
      <w:r w:rsidRPr="00147A38">
        <w:rPr>
          <w:rFonts w:asciiTheme="minorHAnsi" w:hAnsiTheme="minorHAnsi" w:cstheme="minorHAnsi"/>
        </w:rPr>
        <w:t xml:space="preserve"> L</w:t>
      </w:r>
      <w:r w:rsidRPr="00147A38">
        <w:rPr>
          <w:rFonts w:asciiTheme="minorHAnsi" w:hAnsiTheme="minorHAnsi" w:cstheme="minorHAnsi"/>
          <w:i/>
        </w:rPr>
        <w:t xml:space="preserve">, et al. </w:t>
      </w:r>
      <w:r w:rsidRPr="00147A38">
        <w:rPr>
          <w:rFonts w:asciiTheme="minorHAnsi" w:hAnsiTheme="minorHAnsi" w:cstheme="minorHAnsi"/>
        </w:rPr>
        <w:t xml:space="preserve">Multiple indicators of gut dysbiosis predict all-cause and cause-specific mortality in solid organ transplant recipients. </w:t>
      </w:r>
      <w:r w:rsidRPr="00147A38">
        <w:rPr>
          <w:rFonts w:asciiTheme="minorHAnsi" w:hAnsiTheme="minorHAnsi" w:cstheme="minorHAnsi"/>
          <w:i/>
        </w:rPr>
        <w:t xml:space="preserve">Gut </w:t>
      </w:r>
      <w:r w:rsidRPr="00147A38">
        <w:rPr>
          <w:rFonts w:asciiTheme="minorHAnsi" w:hAnsiTheme="minorHAnsi" w:cstheme="minorHAnsi"/>
        </w:rPr>
        <w:t xml:space="preserve">2024; 73:1650-1661. </w:t>
      </w:r>
      <w:proofErr w:type="spellStart"/>
      <w:r w:rsidRPr="00147A38">
        <w:rPr>
          <w:rFonts w:asciiTheme="minorHAnsi" w:hAnsiTheme="minorHAnsi" w:cstheme="minorHAnsi"/>
        </w:rPr>
        <w:t>doi</w:t>
      </w:r>
      <w:proofErr w:type="spellEnd"/>
      <w:r w:rsidRPr="00147A38">
        <w:rPr>
          <w:rFonts w:asciiTheme="minorHAnsi" w:hAnsiTheme="minorHAnsi" w:cstheme="minorHAnsi"/>
        </w:rPr>
        <w:t xml:space="preserve">: 10.1136/gutjnl-2023-331441. </w:t>
      </w:r>
    </w:p>
    <w:p w14:paraId="10282BEA" w14:textId="77777777" w:rsidR="00147A38" w:rsidRPr="00147A38" w:rsidRDefault="00147A38" w:rsidP="00147A38">
      <w:pPr>
        <w:jc w:val="both"/>
        <w:rPr>
          <w:rFonts w:asciiTheme="minorHAnsi" w:hAnsiTheme="minorHAnsi" w:cstheme="minorHAnsi"/>
        </w:rPr>
      </w:pPr>
    </w:p>
    <w:p w14:paraId="702973D1" w14:textId="77777777" w:rsidR="00147A38" w:rsidRPr="00147A38" w:rsidRDefault="00147A38" w:rsidP="00147A38">
      <w:pPr>
        <w:jc w:val="both"/>
        <w:rPr>
          <w:rFonts w:asciiTheme="minorHAnsi" w:hAnsiTheme="minorHAnsi" w:cstheme="minorHAnsi"/>
        </w:rPr>
      </w:pPr>
      <w:proofErr w:type="spellStart"/>
      <w:r w:rsidRPr="00147A38">
        <w:rPr>
          <w:rFonts w:asciiTheme="minorHAnsi" w:hAnsiTheme="minorHAnsi" w:cstheme="minorHAnsi"/>
        </w:rPr>
        <w:t>Dysbiotic</w:t>
      </w:r>
      <w:proofErr w:type="spellEnd"/>
      <w:r w:rsidRPr="00147A38">
        <w:rPr>
          <w:rFonts w:asciiTheme="minorHAnsi" w:hAnsiTheme="minorHAnsi" w:cstheme="minorHAnsi"/>
        </w:rPr>
        <w:t xml:space="preserve"> gut microbiomes have been observed in many diseases. This study explored the relationship between dysbiosis and long-term survival outcomes in a cohort of 1,337 solid-organ (kidney, liver, </w:t>
      </w:r>
      <w:proofErr w:type="gramStart"/>
      <w:r w:rsidRPr="00147A38">
        <w:rPr>
          <w:rFonts w:asciiTheme="minorHAnsi" w:hAnsiTheme="minorHAnsi" w:cstheme="minorHAnsi"/>
        </w:rPr>
        <w:t>lung</w:t>
      </w:r>
      <w:proofErr w:type="gramEnd"/>
      <w:r w:rsidRPr="00147A38">
        <w:rPr>
          <w:rFonts w:asciiTheme="minorHAnsi" w:hAnsiTheme="minorHAnsi" w:cstheme="minorHAnsi"/>
        </w:rPr>
        <w:t xml:space="preserve"> and heart) transplant recipients (SOTR), a population in which dysbiosis is prevalent due to polypharmacy and multi-morbidity. </w:t>
      </w:r>
      <w:proofErr w:type="spellStart"/>
      <w:r w:rsidRPr="00147A38">
        <w:rPr>
          <w:rFonts w:asciiTheme="minorHAnsi" w:hAnsiTheme="minorHAnsi" w:cstheme="minorHAnsi"/>
        </w:rPr>
        <w:t>Swarte</w:t>
      </w:r>
      <w:proofErr w:type="spellEnd"/>
      <w:r w:rsidRPr="00147A38">
        <w:rPr>
          <w:rFonts w:asciiTheme="minorHAnsi" w:hAnsiTheme="minorHAnsi" w:cstheme="minorHAnsi"/>
        </w:rPr>
        <w:t xml:space="preserve"> </w:t>
      </w:r>
      <w:r w:rsidRPr="00147A38">
        <w:rPr>
          <w:rFonts w:asciiTheme="minorHAnsi" w:hAnsiTheme="minorHAnsi" w:cstheme="minorHAnsi"/>
          <w:i/>
          <w:iCs/>
        </w:rPr>
        <w:t>et al.,</w:t>
      </w:r>
      <w:r w:rsidRPr="00147A38">
        <w:rPr>
          <w:rFonts w:asciiTheme="minorHAnsi" w:hAnsiTheme="minorHAnsi" w:cstheme="minorHAnsi"/>
        </w:rPr>
        <w:t xml:space="preserve"> employed metagenomic sequencing of faecal samples to compare SOTR microbiomes with those of 8,208 general population controls. The analysis spanned 6.5 years, with 162 and 139 deaths occurring in the SOTR and general population groups respectively.</w:t>
      </w:r>
    </w:p>
    <w:p w14:paraId="014D0188" w14:textId="77777777" w:rsidR="00147A38" w:rsidRPr="00147A38" w:rsidRDefault="00147A38" w:rsidP="00147A38">
      <w:pPr>
        <w:jc w:val="both"/>
        <w:rPr>
          <w:rFonts w:asciiTheme="minorHAnsi" w:hAnsiTheme="minorHAnsi" w:cstheme="minorHAnsi"/>
        </w:rPr>
      </w:pPr>
    </w:p>
    <w:p w14:paraId="02406167" w14:textId="77777777" w:rsidR="00147A38" w:rsidRPr="00147A38" w:rsidRDefault="00147A38" w:rsidP="00147A38">
      <w:pPr>
        <w:jc w:val="both"/>
        <w:rPr>
          <w:rFonts w:asciiTheme="minorHAnsi" w:hAnsiTheme="minorHAnsi" w:cstheme="minorHAnsi"/>
        </w:rPr>
      </w:pPr>
      <w:r w:rsidRPr="00147A38">
        <w:rPr>
          <w:rFonts w:asciiTheme="minorHAnsi" w:hAnsiTheme="minorHAnsi" w:cstheme="minorHAnsi"/>
        </w:rPr>
        <w:t xml:space="preserve">The study identified 23 bacterial species linked to mortality within the SOTR cohort, with four </w:t>
      </w:r>
      <w:r w:rsidRPr="00147A38">
        <w:rPr>
          <w:rFonts w:asciiTheme="minorHAnsi" w:hAnsiTheme="minorHAnsi" w:cstheme="minorHAnsi"/>
          <w:i/>
          <w:iCs/>
        </w:rPr>
        <w:t>Clostridium</w:t>
      </w:r>
      <w:r w:rsidRPr="00147A38">
        <w:rPr>
          <w:rFonts w:asciiTheme="minorHAnsi" w:hAnsiTheme="minorHAnsi" w:cstheme="minorHAnsi"/>
        </w:rPr>
        <w:t xml:space="preserve"> species, </w:t>
      </w:r>
      <w:proofErr w:type="spellStart"/>
      <w:r w:rsidRPr="00147A38">
        <w:rPr>
          <w:rFonts w:asciiTheme="minorHAnsi" w:hAnsiTheme="minorHAnsi" w:cstheme="minorHAnsi"/>
          <w:i/>
          <w:iCs/>
        </w:rPr>
        <w:t>Ruminococcus</w:t>
      </w:r>
      <w:proofErr w:type="spellEnd"/>
      <w:r w:rsidRPr="00147A38">
        <w:rPr>
          <w:rFonts w:asciiTheme="minorHAnsi" w:hAnsiTheme="minorHAnsi" w:cstheme="minorHAnsi"/>
          <w:i/>
          <w:iCs/>
        </w:rPr>
        <w:t xml:space="preserve"> </w:t>
      </w:r>
      <w:proofErr w:type="spellStart"/>
      <w:r w:rsidRPr="00147A38">
        <w:rPr>
          <w:rFonts w:asciiTheme="minorHAnsi" w:hAnsiTheme="minorHAnsi" w:cstheme="minorHAnsi"/>
          <w:i/>
          <w:iCs/>
        </w:rPr>
        <w:t>gnavus</w:t>
      </w:r>
      <w:proofErr w:type="spellEnd"/>
      <w:r w:rsidRPr="00147A38">
        <w:rPr>
          <w:rFonts w:asciiTheme="minorHAnsi" w:hAnsiTheme="minorHAnsi" w:cstheme="minorHAnsi"/>
        </w:rPr>
        <w:t xml:space="preserve">, and </w:t>
      </w:r>
      <w:proofErr w:type="spellStart"/>
      <w:r w:rsidRPr="00147A38">
        <w:rPr>
          <w:rFonts w:asciiTheme="minorHAnsi" w:hAnsiTheme="minorHAnsi" w:cstheme="minorHAnsi"/>
          <w:i/>
          <w:iCs/>
        </w:rPr>
        <w:t>Veillonella</w:t>
      </w:r>
      <w:proofErr w:type="spellEnd"/>
      <w:r w:rsidRPr="00147A38">
        <w:rPr>
          <w:rFonts w:asciiTheme="minorHAnsi" w:hAnsiTheme="minorHAnsi" w:cstheme="minorHAnsi"/>
          <w:i/>
          <w:iCs/>
        </w:rPr>
        <w:t xml:space="preserve"> </w:t>
      </w:r>
      <w:proofErr w:type="spellStart"/>
      <w:r w:rsidRPr="00147A38">
        <w:rPr>
          <w:rFonts w:asciiTheme="minorHAnsi" w:hAnsiTheme="minorHAnsi" w:cstheme="minorHAnsi"/>
          <w:i/>
          <w:iCs/>
        </w:rPr>
        <w:t>parvula</w:t>
      </w:r>
      <w:proofErr w:type="spellEnd"/>
      <w:r w:rsidRPr="00147A38">
        <w:rPr>
          <w:rFonts w:asciiTheme="minorHAnsi" w:hAnsiTheme="minorHAnsi" w:cstheme="minorHAnsi"/>
        </w:rPr>
        <w:t xml:space="preserve"> associated with increased mortality. Conversely, butyrate-producing bacteria like </w:t>
      </w:r>
      <w:r w:rsidRPr="00147A38">
        <w:rPr>
          <w:rFonts w:asciiTheme="minorHAnsi" w:hAnsiTheme="minorHAnsi" w:cstheme="minorHAnsi"/>
          <w:i/>
          <w:iCs/>
        </w:rPr>
        <w:t xml:space="preserve">Eubacterium </w:t>
      </w:r>
      <w:proofErr w:type="spellStart"/>
      <w:r w:rsidRPr="00147A38">
        <w:rPr>
          <w:rFonts w:asciiTheme="minorHAnsi" w:hAnsiTheme="minorHAnsi" w:cstheme="minorHAnsi"/>
          <w:i/>
          <w:iCs/>
        </w:rPr>
        <w:t>hallii</w:t>
      </w:r>
      <w:proofErr w:type="spellEnd"/>
      <w:r w:rsidRPr="00147A38">
        <w:rPr>
          <w:rFonts w:asciiTheme="minorHAnsi" w:hAnsiTheme="minorHAnsi" w:cstheme="minorHAnsi"/>
          <w:i/>
          <w:iCs/>
        </w:rPr>
        <w:t xml:space="preserve"> </w:t>
      </w:r>
      <w:r w:rsidRPr="00147A38">
        <w:rPr>
          <w:rFonts w:asciiTheme="minorHAnsi" w:hAnsiTheme="minorHAnsi" w:cstheme="minorHAnsi"/>
        </w:rPr>
        <w:t xml:space="preserve">and </w:t>
      </w:r>
      <w:proofErr w:type="spellStart"/>
      <w:r w:rsidRPr="00147A38">
        <w:rPr>
          <w:rFonts w:asciiTheme="minorHAnsi" w:hAnsiTheme="minorHAnsi" w:cstheme="minorHAnsi"/>
          <w:i/>
          <w:iCs/>
        </w:rPr>
        <w:t>Faecalibacterium</w:t>
      </w:r>
      <w:proofErr w:type="spellEnd"/>
      <w:r w:rsidRPr="00147A38">
        <w:rPr>
          <w:rFonts w:asciiTheme="minorHAnsi" w:hAnsiTheme="minorHAnsi" w:cstheme="minorHAnsi"/>
          <w:i/>
          <w:iCs/>
        </w:rPr>
        <w:t xml:space="preserve"> </w:t>
      </w:r>
      <w:proofErr w:type="spellStart"/>
      <w:r w:rsidRPr="00147A38">
        <w:rPr>
          <w:rFonts w:asciiTheme="minorHAnsi" w:hAnsiTheme="minorHAnsi" w:cstheme="minorHAnsi"/>
          <w:i/>
          <w:iCs/>
        </w:rPr>
        <w:t>prausnitzii</w:t>
      </w:r>
      <w:proofErr w:type="spellEnd"/>
      <w:r w:rsidRPr="00147A38">
        <w:rPr>
          <w:rFonts w:asciiTheme="minorHAnsi" w:hAnsiTheme="minorHAnsi" w:cstheme="minorHAnsi"/>
        </w:rPr>
        <w:t xml:space="preserve"> were linked to lower mortality. These associations could not be replicated within the general population cohort.</w:t>
      </w:r>
    </w:p>
    <w:p w14:paraId="7AE55939" w14:textId="77777777" w:rsidR="00147A38" w:rsidRPr="00147A38" w:rsidRDefault="00147A38" w:rsidP="00147A38">
      <w:pPr>
        <w:jc w:val="both"/>
        <w:rPr>
          <w:rFonts w:asciiTheme="minorHAnsi" w:hAnsiTheme="minorHAnsi" w:cstheme="minorHAnsi"/>
        </w:rPr>
      </w:pPr>
    </w:p>
    <w:p w14:paraId="4B9CDCDF" w14:textId="77777777" w:rsidR="00147A38" w:rsidRPr="00147A38" w:rsidRDefault="00147A38" w:rsidP="00147A38">
      <w:pPr>
        <w:jc w:val="both"/>
        <w:rPr>
          <w:rFonts w:asciiTheme="minorHAnsi" w:hAnsiTheme="minorHAnsi" w:cstheme="minorHAnsi"/>
        </w:rPr>
      </w:pPr>
      <w:r w:rsidRPr="00147A38">
        <w:rPr>
          <w:rFonts w:asciiTheme="minorHAnsi" w:hAnsiTheme="minorHAnsi" w:cstheme="minorHAnsi"/>
        </w:rPr>
        <w:t xml:space="preserve">A lower Shannon diversity index in the SOTR group correlated with death from malignancy (HR, hazard ratio 0.71) but not all-cause mortality. An increased microbiome distance from the general population correlated with higher mortality risks from infections (HR 1.46), malignancies (1.39) and cardiovascular diseases (HR 1.36). A higher richness of antibiotic-resistance genes and virulence factors were also associated with an increase in all-cause mortality risk. </w:t>
      </w:r>
    </w:p>
    <w:p w14:paraId="5BD23D96" w14:textId="77777777" w:rsidR="00147A38" w:rsidRPr="00147A38" w:rsidRDefault="00147A38" w:rsidP="00147A38">
      <w:pPr>
        <w:jc w:val="both"/>
        <w:rPr>
          <w:rFonts w:asciiTheme="minorHAnsi" w:hAnsiTheme="minorHAnsi" w:cstheme="minorHAnsi"/>
        </w:rPr>
      </w:pPr>
    </w:p>
    <w:p w14:paraId="2B9196E2" w14:textId="77777777" w:rsidR="00147A38" w:rsidRPr="00147A38" w:rsidRDefault="00147A38" w:rsidP="00147A38">
      <w:pPr>
        <w:jc w:val="both"/>
        <w:rPr>
          <w:rFonts w:asciiTheme="minorHAnsi" w:hAnsiTheme="minorHAnsi" w:cstheme="minorHAnsi"/>
        </w:rPr>
      </w:pPr>
      <w:r w:rsidRPr="00147A38">
        <w:rPr>
          <w:rFonts w:asciiTheme="minorHAnsi" w:hAnsiTheme="minorHAnsi" w:cstheme="minorHAnsi"/>
        </w:rPr>
        <w:t xml:space="preserve">The findings underscore that gut dysbiosis, characterised by reduced bacterial diversity and a higher prevalence of antibiotic-resistant, virulent strains, predicts poorer survival outcomes post-transplantation. </w:t>
      </w:r>
      <w:proofErr w:type="spellStart"/>
      <w:r w:rsidRPr="00147A38">
        <w:rPr>
          <w:rFonts w:asciiTheme="minorHAnsi" w:hAnsiTheme="minorHAnsi" w:cstheme="minorHAnsi"/>
        </w:rPr>
        <w:t>Swarte</w:t>
      </w:r>
      <w:proofErr w:type="spellEnd"/>
      <w:r w:rsidRPr="00147A38">
        <w:rPr>
          <w:rFonts w:asciiTheme="minorHAnsi" w:hAnsiTheme="minorHAnsi" w:cstheme="minorHAnsi"/>
        </w:rPr>
        <w:t xml:space="preserve"> </w:t>
      </w:r>
      <w:r w:rsidRPr="00147A38">
        <w:rPr>
          <w:rFonts w:asciiTheme="minorHAnsi" w:hAnsiTheme="minorHAnsi" w:cstheme="minorHAnsi"/>
          <w:i/>
          <w:iCs/>
        </w:rPr>
        <w:t>et al.,</w:t>
      </w:r>
      <w:r w:rsidRPr="00147A38">
        <w:rPr>
          <w:rFonts w:asciiTheme="minorHAnsi" w:hAnsiTheme="minorHAnsi" w:cstheme="minorHAnsi"/>
        </w:rPr>
        <w:t xml:space="preserve"> stress that causality cannot be inferred from these observations. Further research is needed to understand the mechanisms and whether restoring microbiome balance could improve patient outcomes.</w:t>
      </w:r>
    </w:p>
    <w:p w14:paraId="0B562B74" w14:textId="77777777" w:rsidR="00147A38" w:rsidRDefault="00147A38" w:rsidP="00147A38">
      <w:pPr>
        <w:jc w:val="both"/>
        <w:rPr>
          <w:rFonts w:asciiTheme="minorHAnsi" w:hAnsiTheme="minorHAnsi" w:cstheme="minorHAnsi"/>
          <w:iCs/>
          <w:sz w:val="22"/>
          <w:szCs w:val="22"/>
        </w:rPr>
      </w:pPr>
    </w:p>
    <w:p w14:paraId="312A62B3" w14:textId="77777777" w:rsidR="008743EE" w:rsidRPr="002412EF" w:rsidRDefault="008743EE">
      <w:pPr>
        <w:rPr>
          <w:rFonts w:ascii="Segoe UI" w:hAnsi="Segoe UI" w:cs="Segoe UI"/>
          <w:sz w:val="28"/>
          <w:szCs w:val="28"/>
        </w:rPr>
      </w:pPr>
    </w:p>
    <w:sectPr w:rsidR="008743EE" w:rsidRPr="00241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EF"/>
    <w:rsid w:val="00147A38"/>
    <w:rsid w:val="00163271"/>
    <w:rsid w:val="002412EF"/>
    <w:rsid w:val="002436A3"/>
    <w:rsid w:val="0087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D937"/>
  <w15:chartTrackingRefBased/>
  <w15:docId w15:val="{C8C30EE4-19D0-497E-AC0E-B54A02BB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E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2024-11-06T10:35:00Z</dcterms:created>
  <dcterms:modified xsi:type="dcterms:W3CDTF">2024-11-06T10:35:00Z</dcterms:modified>
</cp:coreProperties>
</file>