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5F88" w14:textId="741E1719" w:rsidR="008743EE" w:rsidRDefault="004B4D31">
      <w:r>
        <w:rPr>
          <w:rFonts w:ascii="Segoe UI" w:hAnsi="Segoe UI" w:cs="Segoe UI"/>
          <w:b/>
          <w:bCs/>
          <w:noProof/>
          <w:color w:val="212529"/>
        </w:rPr>
        <w:drawing>
          <wp:anchor distT="0" distB="0" distL="114300" distR="114300" simplePos="0" relativeHeight="251659264" behindDoc="0" locked="0" layoutInCell="1" allowOverlap="1" wp14:anchorId="41690B00" wp14:editId="5E419A47">
            <wp:simplePos x="0" y="0"/>
            <wp:positionH relativeFrom="margin">
              <wp:align>center</wp:align>
            </wp:positionH>
            <wp:positionV relativeFrom="paragraph">
              <wp:posOffset>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3A3DB441" w14:textId="77777777" w:rsidR="00093C9A" w:rsidRDefault="00093C9A" w:rsidP="00093C9A">
      <w:pPr>
        <w:jc w:val="both"/>
        <w:rPr>
          <w:rFonts w:cstheme="minorHAnsi"/>
          <w:b/>
          <w:bCs/>
          <w:iCs/>
        </w:rPr>
      </w:pPr>
    </w:p>
    <w:p w14:paraId="1DCC7FEB" w14:textId="77777777" w:rsidR="00461F95" w:rsidRPr="00461F95" w:rsidRDefault="00461F95" w:rsidP="00461F95">
      <w:pPr>
        <w:jc w:val="both"/>
        <w:rPr>
          <w:rFonts w:cstheme="minorHAnsi"/>
          <w:iCs/>
          <w:sz w:val="24"/>
          <w:szCs w:val="24"/>
        </w:rPr>
      </w:pPr>
    </w:p>
    <w:p w14:paraId="337E10C2" w14:textId="0A1338E7" w:rsidR="00461F95" w:rsidRPr="00461F95" w:rsidRDefault="00461F95" w:rsidP="00461F95">
      <w:pPr>
        <w:jc w:val="both"/>
        <w:rPr>
          <w:rFonts w:cstheme="minorHAnsi"/>
          <w:b/>
          <w:iCs/>
          <w:sz w:val="24"/>
          <w:szCs w:val="24"/>
        </w:rPr>
      </w:pPr>
      <w:r w:rsidRPr="00461F95">
        <w:rPr>
          <w:rFonts w:cstheme="minorHAnsi"/>
          <w:b/>
          <w:iCs/>
          <w:sz w:val="24"/>
          <w:szCs w:val="24"/>
        </w:rPr>
        <w:t>Evolution of the use, effectiveness and safety of bismuth-containing quadruple therapy for Helicobacter pylori infection between 2013 and 2021: results from the European registry on H. pylori management (Hp-</w:t>
      </w:r>
      <w:proofErr w:type="spellStart"/>
      <w:r w:rsidRPr="00461F95">
        <w:rPr>
          <w:rFonts w:cstheme="minorHAnsi"/>
          <w:b/>
          <w:iCs/>
          <w:sz w:val="24"/>
          <w:szCs w:val="24"/>
        </w:rPr>
        <w:t>EuReg</w:t>
      </w:r>
      <w:proofErr w:type="spellEnd"/>
      <w:r w:rsidRPr="00461F95">
        <w:rPr>
          <w:rFonts w:cstheme="minorHAnsi"/>
          <w:b/>
          <w:iCs/>
          <w:sz w:val="24"/>
          <w:szCs w:val="24"/>
        </w:rPr>
        <w:t>)</w:t>
      </w:r>
    </w:p>
    <w:p w14:paraId="2356F364" w14:textId="5450D0F0" w:rsidR="00461F95" w:rsidRPr="00461F95" w:rsidRDefault="00461F95" w:rsidP="00461F95">
      <w:pPr>
        <w:jc w:val="both"/>
        <w:rPr>
          <w:rFonts w:cstheme="minorHAnsi"/>
          <w:bCs/>
          <w:iCs/>
          <w:sz w:val="24"/>
          <w:szCs w:val="24"/>
        </w:rPr>
      </w:pPr>
      <w:r w:rsidRPr="00461F95">
        <w:rPr>
          <w:rFonts w:cstheme="minorHAnsi"/>
          <w:bCs/>
          <w:iCs/>
          <w:sz w:val="24"/>
          <w:szCs w:val="24"/>
        </w:rPr>
        <w:t xml:space="preserve">Olmedo L, </w:t>
      </w:r>
      <w:proofErr w:type="spellStart"/>
      <w:r w:rsidRPr="00461F95">
        <w:rPr>
          <w:rFonts w:cstheme="minorHAnsi"/>
          <w:bCs/>
          <w:iCs/>
          <w:sz w:val="24"/>
          <w:szCs w:val="24"/>
        </w:rPr>
        <w:t>Calvet</w:t>
      </w:r>
      <w:proofErr w:type="spellEnd"/>
      <w:r w:rsidRPr="00461F95">
        <w:rPr>
          <w:rFonts w:cstheme="minorHAnsi"/>
          <w:bCs/>
          <w:iCs/>
          <w:sz w:val="24"/>
          <w:szCs w:val="24"/>
        </w:rPr>
        <w:t xml:space="preserve"> X, </w:t>
      </w:r>
      <w:proofErr w:type="spellStart"/>
      <w:r w:rsidRPr="00461F95">
        <w:rPr>
          <w:rFonts w:cstheme="minorHAnsi"/>
          <w:bCs/>
          <w:iCs/>
          <w:sz w:val="24"/>
          <w:szCs w:val="24"/>
        </w:rPr>
        <w:t>Gené</w:t>
      </w:r>
      <w:proofErr w:type="spellEnd"/>
      <w:r w:rsidRPr="00461F95">
        <w:rPr>
          <w:rFonts w:cstheme="minorHAnsi"/>
          <w:bCs/>
          <w:iCs/>
          <w:sz w:val="24"/>
          <w:szCs w:val="24"/>
        </w:rPr>
        <w:t xml:space="preserve"> E, </w:t>
      </w:r>
      <w:r w:rsidRPr="00461F95">
        <w:rPr>
          <w:rFonts w:cstheme="minorHAnsi"/>
          <w:bCs/>
          <w:i/>
          <w:sz w:val="24"/>
          <w:szCs w:val="24"/>
        </w:rPr>
        <w:t>et al.</w:t>
      </w:r>
      <w:r w:rsidRPr="00461F95">
        <w:rPr>
          <w:rFonts w:cstheme="minorHAnsi"/>
          <w:bCs/>
          <w:iCs/>
          <w:sz w:val="24"/>
          <w:szCs w:val="24"/>
        </w:rPr>
        <w:t xml:space="preserve"> Evolution of the use, effectiveness and safety of bismuth-containing quadruple therapy for Helicobacter pylori infection between 2013 and 2021: results from the European registry on H. pylori management (Hp-</w:t>
      </w:r>
      <w:proofErr w:type="spellStart"/>
      <w:r w:rsidRPr="00461F95">
        <w:rPr>
          <w:rFonts w:cstheme="minorHAnsi"/>
          <w:bCs/>
          <w:iCs/>
          <w:sz w:val="24"/>
          <w:szCs w:val="24"/>
        </w:rPr>
        <w:t>EuReg</w:t>
      </w:r>
      <w:proofErr w:type="spellEnd"/>
      <w:r w:rsidRPr="00461F95">
        <w:rPr>
          <w:rFonts w:cstheme="minorHAnsi"/>
          <w:bCs/>
          <w:iCs/>
          <w:sz w:val="24"/>
          <w:szCs w:val="24"/>
        </w:rPr>
        <w:t xml:space="preserve">). </w:t>
      </w:r>
      <w:r w:rsidRPr="00461F95">
        <w:rPr>
          <w:rFonts w:cstheme="minorHAnsi"/>
          <w:bCs/>
          <w:i/>
          <w:sz w:val="24"/>
          <w:szCs w:val="24"/>
        </w:rPr>
        <w:t xml:space="preserve">Gut </w:t>
      </w:r>
      <w:r w:rsidRPr="00461F95">
        <w:rPr>
          <w:rFonts w:cstheme="minorHAnsi"/>
          <w:bCs/>
          <w:iCs/>
          <w:sz w:val="24"/>
          <w:szCs w:val="24"/>
        </w:rPr>
        <w:t xml:space="preserve">2025; 74: 15-25. </w:t>
      </w:r>
      <w:proofErr w:type="spellStart"/>
      <w:r w:rsidRPr="00461F95">
        <w:rPr>
          <w:rFonts w:cstheme="minorHAnsi"/>
          <w:bCs/>
          <w:iCs/>
          <w:sz w:val="24"/>
          <w:szCs w:val="24"/>
        </w:rPr>
        <w:t>doi</w:t>
      </w:r>
      <w:proofErr w:type="spellEnd"/>
      <w:r w:rsidRPr="00461F95">
        <w:rPr>
          <w:rFonts w:cstheme="minorHAnsi"/>
          <w:bCs/>
          <w:iCs/>
          <w:sz w:val="24"/>
          <w:szCs w:val="24"/>
        </w:rPr>
        <w:t xml:space="preserve">: 10.1136/gutjnl-2024-332804. </w:t>
      </w:r>
    </w:p>
    <w:p w14:paraId="64090A9E" w14:textId="77777777" w:rsidR="00461F95" w:rsidRPr="00461F95" w:rsidRDefault="00461F95" w:rsidP="00461F95">
      <w:pPr>
        <w:jc w:val="both"/>
        <w:rPr>
          <w:rFonts w:cstheme="minorHAnsi"/>
          <w:iCs/>
          <w:sz w:val="24"/>
          <w:szCs w:val="24"/>
        </w:rPr>
      </w:pPr>
    </w:p>
    <w:p w14:paraId="55DC8DAE" w14:textId="27602539" w:rsidR="00461F95" w:rsidRPr="00461F95" w:rsidRDefault="00461F95" w:rsidP="00461F95">
      <w:pPr>
        <w:jc w:val="both"/>
        <w:rPr>
          <w:rFonts w:cstheme="minorHAnsi"/>
          <w:iCs/>
          <w:sz w:val="24"/>
          <w:szCs w:val="24"/>
        </w:rPr>
      </w:pPr>
      <w:r w:rsidRPr="00461F95">
        <w:rPr>
          <w:rFonts w:cstheme="minorHAnsi"/>
          <w:iCs/>
          <w:sz w:val="24"/>
          <w:szCs w:val="24"/>
        </w:rPr>
        <w:t xml:space="preserve">Helicobacter pylori (H. pylori) is challenging to treat due to antimicrobial resistance. The use of quadruple therapy (3 antibiotics + PPI (proton pump inhibitor), or 2 antibiotics + bismuth + PPI) has become standard in many countries. Bismuth offers advantages through its bacteriostatic and synergistic effects when combined with antibiotics. </w:t>
      </w:r>
    </w:p>
    <w:p w14:paraId="3062755F" w14:textId="00C13EEE" w:rsidR="00461F95" w:rsidRPr="00461F95" w:rsidRDefault="00461F95" w:rsidP="00461F95">
      <w:pPr>
        <w:jc w:val="both"/>
        <w:rPr>
          <w:rFonts w:cstheme="minorHAnsi"/>
          <w:iCs/>
          <w:sz w:val="24"/>
          <w:szCs w:val="24"/>
        </w:rPr>
      </w:pPr>
      <w:r w:rsidRPr="00461F95">
        <w:rPr>
          <w:rFonts w:cstheme="minorHAnsi"/>
          <w:iCs/>
          <w:sz w:val="24"/>
          <w:szCs w:val="24"/>
        </w:rPr>
        <w:t>The Hp-</w:t>
      </w:r>
      <w:proofErr w:type="spellStart"/>
      <w:r w:rsidRPr="00461F95">
        <w:rPr>
          <w:rFonts w:cstheme="minorHAnsi"/>
          <w:iCs/>
          <w:sz w:val="24"/>
          <w:szCs w:val="24"/>
        </w:rPr>
        <w:t>EuReg</w:t>
      </w:r>
      <w:proofErr w:type="spellEnd"/>
      <w:r w:rsidRPr="00461F95">
        <w:rPr>
          <w:rFonts w:cstheme="minorHAnsi"/>
          <w:iCs/>
          <w:sz w:val="24"/>
          <w:szCs w:val="24"/>
        </w:rPr>
        <w:t xml:space="preserve"> study was an international, multi-centre study which prospectively analysed patients receiving single-capsule (</w:t>
      </w:r>
      <w:proofErr w:type="spellStart"/>
      <w:r w:rsidRPr="00461F95">
        <w:rPr>
          <w:rFonts w:cstheme="minorHAnsi"/>
          <w:iCs/>
          <w:sz w:val="24"/>
          <w:szCs w:val="24"/>
        </w:rPr>
        <w:t>ScBQT</w:t>
      </w:r>
      <w:proofErr w:type="spellEnd"/>
      <w:r w:rsidRPr="00461F95">
        <w:rPr>
          <w:rFonts w:cstheme="minorHAnsi"/>
          <w:iCs/>
          <w:sz w:val="24"/>
          <w:szCs w:val="24"/>
        </w:rPr>
        <w:t>) or non-single-capsule (</w:t>
      </w:r>
      <w:proofErr w:type="spellStart"/>
      <w:r w:rsidRPr="00461F95">
        <w:rPr>
          <w:rFonts w:cstheme="minorHAnsi"/>
          <w:iCs/>
          <w:sz w:val="24"/>
          <w:szCs w:val="24"/>
        </w:rPr>
        <w:t>NScBQT</w:t>
      </w:r>
      <w:proofErr w:type="spellEnd"/>
      <w:r w:rsidRPr="00461F95">
        <w:rPr>
          <w:rFonts w:cstheme="minorHAnsi"/>
          <w:iCs/>
          <w:sz w:val="24"/>
          <w:szCs w:val="24"/>
        </w:rPr>
        <w:t>) bismuth-containing quadruple therapy (BQT) from 2013-21. Only patients with confirmatory eradication tests were included in the intention-to-treat analysis.</w:t>
      </w:r>
    </w:p>
    <w:p w14:paraId="6EC7ED30" w14:textId="07935278" w:rsidR="00461F95" w:rsidRPr="00461F95" w:rsidRDefault="00461F95" w:rsidP="00461F95">
      <w:pPr>
        <w:jc w:val="both"/>
        <w:rPr>
          <w:rFonts w:cstheme="minorHAnsi"/>
          <w:iCs/>
          <w:sz w:val="24"/>
          <w:szCs w:val="24"/>
        </w:rPr>
      </w:pPr>
      <w:r w:rsidRPr="00461F95">
        <w:rPr>
          <w:rFonts w:cstheme="minorHAnsi"/>
          <w:iCs/>
          <w:sz w:val="24"/>
          <w:szCs w:val="24"/>
        </w:rPr>
        <w:t xml:space="preserve">Of 49,690 patients, 15,582 (31%) received BQT. Usage varied markedly across Europe; BQT was prescribed as first-line therapy in 72.3% of cases, </w:t>
      </w:r>
      <w:proofErr w:type="gramStart"/>
      <w:r w:rsidRPr="00461F95">
        <w:rPr>
          <w:rFonts w:cstheme="minorHAnsi"/>
          <w:iCs/>
          <w:sz w:val="24"/>
          <w:szCs w:val="24"/>
        </w:rPr>
        <w:t>second-line</w:t>
      </w:r>
      <w:proofErr w:type="gramEnd"/>
      <w:r w:rsidRPr="00461F95">
        <w:rPr>
          <w:rFonts w:cstheme="minorHAnsi"/>
          <w:iCs/>
          <w:sz w:val="24"/>
          <w:szCs w:val="24"/>
        </w:rPr>
        <w:t xml:space="preserve"> in 18.5%, and as rescue therapy in 9.2% (as is the case in the United Kingdom (UK)). </w:t>
      </w:r>
      <w:proofErr w:type="spellStart"/>
      <w:r w:rsidRPr="00461F95">
        <w:rPr>
          <w:rFonts w:cstheme="minorHAnsi"/>
          <w:iCs/>
          <w:sz w:val="24"/>
          <w:szCs w:val="24"/>
        </w:rPr>
        <w:t>ScBQT</w:t>
      </w:r>
      <w:proofErr w:type="spellEnd"/>
      <w:r w:rsidRPr="00461F95">
        <w:rPr>
          <w:rFonts w:cstheme="minorHAnsi"/>
          <w:iCs/>
          <w:sz w:val="24"/>
          <w:szCs w:val="24"/>
        </w:rPr>
        <w:t xml:space="preserve"> with PPI was used in 43% of cases. BQT achieved over 90% cure rates as first-line therapy and when paired with standard/high-dose PPIs (≥ omeprazole 40 mg bd), outperforming low-dose PPI regimens. </w:t>
      </w:r>
      <w:proofErr w:type="spellStart"/>
      <w:r w:rsidRPr="00461F95">
        <w:rPr>
          <w:rFonts w:cstheme="minorHAnsi"/>
          <w:iCs/>
          <w:sz w:val="24"/>
          <w:szCs w:val="24"/>
        </w:rPr>
        <w:t>ScBQT</w:t>
      </w:r>
      <w:proofErr w:type="spellEnd"/>
      <w:r w:rsidRPr="00461F95">
        <w:rPr>
          <w:rFonts w:cstheme="minorHAnsi"/>
          <w:iCs/>
          <w:sz w:val="24"/>
          <w:szCs w:val="24"/>
        </w:rPr>
        <w:t xml:space="preserve"> showed consistent </w:t>
      </w:r>
      <w:r w:rsidRPr="00461F95">
        <w:rPr>
          <w:rFonts w:cstheme="minorHAnsi"/>
          <w:iCs/>
          <w:sz w:val="24"/>
          <w:szCs w:val="24"/>
          <w:u w:val="single"/>
        </w:rPr>
        <w:t>&gt;</w:t>
      </w:r>
      <w:r w:rsidRPr="00461F95">
        <w:rPr>
          <w:rFonts w:cstheme="minorHAnsi"/>
          <w:iCs/>
          <w:sz w:val="24"/>
          <w:szCs w:val="24"/>
        </w:rPr>
        <w:t>90% effectiveness across Europe.</w:t>
      </w:r>
    </w:p>
    <w:p w14:paraId="573AB831" w14:textId="77394BE3" w:rsidR="00461F95" w:rsidRPr="00461F95" w:rsidRDefault="00461F95" w:rsidP="00461F95">
      <w:pPr>
        <w:jc w:val="both"/>
        <w:rPr>
          <w:rFonts w:cstheme="minorHAnsi"/>
          <w:iCs/>
          <w:sz w:val="24"/>
          <w:szCs w:val="24"/>
        </w:rPr>
      </w:pPr>
      <w:r w:rsidRPr="00461F95">
        <w:rPr>
          <w:rFonts w:cstheme="minorHAnsi"/>
          <w:iCs/>
          <w:sz w:val="24"/>
          <w:szCs w:val="24"/>
        </w:rPr>
        <w:t xml:space="preserve">Treatment success predictors included adherence (OR (odds ratio) 8.4), </w:t>
      </w:r>
      <w:proofErr w:type="spellStart"/>
      <w:r w:rsidRPr="00461F95">
        <w:rPr>
          <w:rFonts w:cstheme="minorHAnsi"/>
          <w:iCs/>
          <w:sz w:val="24"/>
          <w:szCs w:val="24"/>
        </w:rPr>
        <w:t>ScBQT</w:t>
      </w:r>
      <w:proofErr w:type="spellEnd"/>
      <w:r w:rsidRPr="00461F95">
        <w:rPr>
          <w:rFonts w:cstheme="minorHAnsi"/>
          <w:iCs/>
          <w:sz w:val="24"/>
          <w:szCs w:val="24"/>
        </w:rPr>
        <w:t xml:space="preserve"> use (OR 1.9), 14-day regimens (OR 1.3), and standard/high-dose PPIs (OR 1.7). Adverse effects occurred in 40% of patients, leading to treatment interruptions in 10%–predominantly due to gastrointestinal symptoms.</w:t>
      </w:r>
    </w:p>
    <w:p w14:paraId="02B90BF7" w14:textId="77777777" w:rsidR="00461F95" w:rsidRPr="00461F95" w:rsidRDefault="00461F95" w:rsidP="00461F95">
      <w:pPr>
        <w:jc w:val="both"/>
        <w:rPr>
          <w:rFonts w:cstheme="minorHAnsi"/>
          <w:iCs/>
          <w:sz w:val="24"/>
          <w:szCs w:val="24"/>
        </w:rPr>
      </w:pPr>
      <w:r w:rsidRPr="00461F95">
        <w:rPr>
          <w:rFonts w:cstheme="minorHAnsi"/>
          <w:iCs/>
          <w:sz w:val="24"/>
          <w:szCs w:val="24"/>
        </w:rPr>
        <w:t xml:space="preserve">This well-powered study supports BQT as first-line or rescue therapy in high-resistance areas. </w:t>
      </w:r>
      <w:proofErr w:type="spellStart"/>
      <w:r w:rsidRPr="00461F95">
        <w:rPr>
          <w:rFonts w:cstheme="minorHAnsi"/>
          <w:iCs/>
          <w:sz w:val="24"/>
          <w:szCs w:val="24"/>
        </w:rPr>
        <w:t>ScBQT</w:t>
      </w:r>
      <w:proofErr w:type="spellEnd"/>
      <w:r w:rsidRPr="00461F95">
        <w:rPr>
          <w:rFonts w:cstheme="minorHAnsi"/>
          <w:iCs/>
          <w:sz w:val="24"/>
          <w:szCs w:val="24"/>
        </w:rPr>
        <w:t xml:space="preserve"> could become standard treatment in such areas and needs to be made accessible. Moreover, PPI doses should routinely be set at omeprazole 40 mg bd or equivalent, carrying significant implications for UK clinical practice.</w:t>
      </w:r>
    </w:p>
    <w:p w14:paraId="359AD71F" w14:textId="4BECED25" w:rsidR="00C8554A" w:rsidRPr="00996C64" w:rsidRDefault="00C8554A" w:rsidP="00EA22AD">
      <w:pPr>
        <w:jc w:val="both"/>
        <w:rPr>
          <w:rFonts w:cstheme="minorHAnsi"/>
          <w:iCs/>
          <w:sz w:val="24"/>
          <w:szCs w:val="24"/>
        </w:rPr>
      </w:pPr>
    </w:p>
    <w:sectPr w:rsidR="00C8554A" w:rsidRPr="00996C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D31"/>
    <w:rsid w:val="00093C9A"/>
    <w:rsid w:val="00163271"/>
    <w:rsid w:val="0019001B"/>
    <w:rsid w:val="00317CD9"/>
    <w:rsid w:val="00461F95"/>
    <w:rsid w:val="004B4D31"/>
    <w:rsid w:val="005D3051"/>
    <w:rsid w:val="005E2702"/>
    <w:rsid w:val="006360D2"/>
    <w:rsid w:val="00665E23"/>
    <w:rsid w:val="00681B2B"/>
    <w:rsid w:val="007B2395"/>
    <w:rsid w:val="00835646"/>
    <w:rsid w:val="008743EE"/>
    <w:rsid w:val="00996C64"/>
    <w:rsid w:val="00C8554A"/>
    <w:rsid w:val="00E45986"/>
    <w:rsid w:val="00EA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B886"/>
  <w15:chartTrackingRefBased/>
  <w15:docId w15:val="{F0FF924E-03CB-4C4C-B62B-97248ECA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5829">
      <w:bodyDiv w:val="1"/>
      <w:marLeft w:val="0"/>
      <w:marRight w:val="0"/>
      <w:marTop w:val="0"/>
      <w:marBottom w:val="0"/>
      <w:divBdr>
        <w:top w:val="none" w:sz="0" w:space="0" w:color="auto"/>
        <w:left w:val="none" w:sz="0" w:space="0" w:color="auto"/>
        <w:bottom w:val="none" w:sz="0" w:space="0" w:color="auto"/>
        <w:right w:val="none" w:sz="0" w:space="0" w:color="auto"/>
      </w:divBdr>
    </w:div>
    <w:div w:id="275530982">
      <w:bodyDiv w:val="1"/>
      <w:marLeft w:val="0"/>
      <w:marRight w:val="0"/>
      <w:marTop w:val="0"/>
      <w:marBottom w:val="0"/>
      <w:divBdr>
        <w:top w:val="none" w:sz="0" w:space="0" w:color="auto"/>
        <w:left w:val="none" w:sz="0" w:space="0" w:color="auto"/>
        <w:bottom w:val="none" w:sz="0" w:space="0" w:color="auto"/>
        <w:right w:val="none" w:sz="0" w:space="0" w:color="auto"/>
      </w:divBdr>
    </w:div>
    <w:div w:id="563490735">
      <w:bodyDiv w:val="1"/>
      <w:marLeft w:val="0"/>
      <w:marRight w:val="0"/>
      <w:marTop w:val="0"/>
      <w:marBottom w:val="0"/>
      <w:divBdr>
        <w:top w:val="none" w:sz="0" w:space="0" w:color="auto"/>
        <w:left w:val="none" w:sz="0" w:space="0" w:color="auto"/>
        <w:bottom w:val="none" w:sz="0" w:space="0" w:color="auto"/>
        <w:right w:val="none" w:sz="0" w:space="0" w:color="auto"/>
      </w:divBdr>
    </w:div>
    <w:div w:id="1643852700">
      <w:bodyDiv w:val="1"/>
      <w:marLeft w:val="0"/>
      <w:marRight w:val="0"/>
      <w:marTop w:val="0"/>
      <w:marBottom w:val="0"/>
      <w:divBdr>
        <w:top w:val="none" w:sz="0" w:space="0" w:color="auto"/>
        <w:left w:val="none" w:sz="0" w:space="0" w:color="auto"/>
        <w:bottom w:val="none" w:sz="0" w:space="0" w:color="auto"/>
        <w:right w:val="none" w:sz="0" w:space="0" w:color="auto"/>
      </w:divBdr>
    </w:div>
    <w:div w:id="2003581502">
      <w:bodyDiv w:val="1"/>
      <w:marLeft w:val="0"/>
      <w:marRight w:val="0"/>
      <w:marTop w:val="0"/>
      <w:marBottom w:val="0"/>
      <w:divBdr>
        <w:top w:val="none" w:sz="0" w:space="0" w:color="auto"/>
        <w:left w:val="none" w:sz="0" w:space="0" w:color="auto"/>
        <w:bottom w:val="none" w:sz="0" w:space="0" w:color="auto"/>
        <w:right w:val="none" w:sz="0" w:space="0" w:color="auto"/>
      </w:divBdr>
    </w:div>
    <w:div w:id="20389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Preston</dc:creator>
  <cp:keywords/>
  <dc:description/>
  <cp:lastModifiedBy>Mollie Preston</cp:lastModifiedBy>
  <cp:revision>3</cp:revision>
  <dcterms:created xsi:type="dcterms:W3CDTF">2025-02-07T13:49:00Z</dcterms:created>
  <dcterms:modified xsi:type="dcterms:W3CDTF">2025-02-07T13:52:00Z</dcterms:modified>
</cp:coreProperties>
</file>