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9F186B3" w14:textId="77777777" w:rsidR="00056DC0" w:rsidRDefault="00056DC0" w:rsidP="00535D91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056DC0">
        <w:rPr>
          <w:rStyle w:val="Strong"/>
          <w:rFonts w:ascii="Segoe UI" w:hAnsi="Segoe UI" w:cs="Segoe UI"/>
          <w:color w:val="212529"/>
        </w:rPr>
        <w:t>Updates to the modern diagnosis of GERD: Lyon consensus 2.0</w:t>
      </w:r>
    </w:p>
    <w:p w14:paraId="15C5BCAD" w14:textId="6555F702" w:rsidR="00EF41B0" w:rsidRDefault="00EF41B0" w:rsidP="006D3993">
      <w:pPr>
        <w:pStyle w:val="NormalWeb"/>
        <w:shd w:val="clear" w:color="auto" w:fill="FFFFFF"/>
        <w:rPr>
          <w:rStyle w:val="Emphasis"/>
          <w:rFonts w:ascii="Segoe UI" w:hAnsi="Segoe UI" w:cs="Segoe UI"/>
          <w:color w:val="212529"/>
        </w:rPr>
      </w:pPr>
      <w:proofErr w:type="spellStart"/>
      <w:r w:rsidRPr="00EF41B0">
        <w:rPr>
          <w:rStyle w:val="Emphasis"/>
          <w:rFonts w:ascii="Segoe UI" w:hAnsi="Segoe UI" w:cs="Segoe UI"/>
          <w:color w:val="212529"/>
        </w:rPr>
        <w:t>Gyawali</w:t>
      </w:r>
      <w:proofErr w:type="spellEnd"/>
      <w:r w:rsidRPr="00EF41B0">
        <w:rPr>
          <w:rStyle w:val="Emphasis"/>
          <w:rFonts w:ascii="Segoe UI" w:hAnsi="Segoe UI" w:cs="Segoe UI"/>
          <w:color w:val="212529"/>
        </w:rPr>
        <w:t xml:space="preserve"> C, </w:t>
      </w:r>
      <w:proofErr w:type="spellStart"/>
      <w:r w:rsidRPr="00EF41B0">
        <w:rPr>
          <w:rStyle w:val="Emphasis"/>
          <w:rFonts w:ascii="Segoe UI" w:hAnsi="Segoe UI" w:cs="Segoe UI"/>
          <w:color w:val="212529"/>
        </w:rPr>
        <w:t>Yadlapati</w:t>
      </w:r>
      <w:proofErr w:type="spellEnd"/>
      <w:r w:rsidRPr="00EF41B0">
        <w:rPr>
          <w:rStyle w:val="Emphasis"/>
          <w:rFonts w:ascii="Segoe UI" w:hAnsi="Segoe UI" w:cs="Segoe UI"/>
          <w:color w:val="212529"/>
        </w:rPr>
        <w:t xml:space="preserve"> R, </w:t>
      </w:r>
      <w:proofErr w:type="spellStart"/>
      <w:r w:rsidRPr="00EF41B0">
        <w:rPr>
          <w:rStyle w:val="Emphasis"/>
          <w:rFonts w:ascii="Segoe UI" w:hAnsi="Segoe UI" w:cs="Segoe UI"/>
          <w:color w:val="212529"/>
        </w:rPr>
        <w:t>Fass</w:t>
      </w:r>
      <w:proofErr w:type="spellEnd"/>
      <w:r w:rsidRPr="00EF41B0">
        <w:rPr>
          <w:rStyle w:val="Emphasis"/>
          <w:rFonts w:ascii="Segoe UI" w:hAnsi="Segoe UI" w:cs="Segoe UI"/>
          <w:color w:val="212529"/>
        </w:rPr>
        <w:t xml:space="preserve"> R, et al</w:t>
      </w:r>
      <w:hyperlink r:id="rId5" w:history="1">
        <w:r w:rsidRPr="00A15E9C">
          <w:rPr>
            <w:rStyle w:val="Hyperlink"/>
            <w:rFonts w:ascii="Segoe UI" w:hAnsi="Segoe UI" w:cs="Segoe UI"/>
          </w:rPr>
          <w:t>. Updates to the modern diagnosis of GERD: Lyon consensus 2.0</w:t>
        </w:r>
      </w:hyperlink>
      <w:r w:rsidRPr="00EF41B0">
        <w:rPr>
          <w:rStyle w:val="Emphasis"/>
          <w:rFonts w:ascii="Segoe UI" w:hAnsi="Segoe UI" w:cs="Segoe UI"/>
          <w:color w:val="212529"/>
        </w:rPr>
        <w:t xml:space="preserve">. Gut 2024; 73(2): 361-371. </w:t>
      </w:r>
      <w:proofErr w:type="spellStart"/>
      <w:r w:rsidRPr="00EF41B0">
        <w:rPr>
          <w:rStyle w:val="Emphasis"/>
          <w:rFonts w:ascii="Segoe UI" w:hAnsi="Segoe UI" w:cs="Segoe UI"/>
          <w:color w:val="212529"/>
        </w:rPr>
        <w:t>doi</w:t>
      </w:r>
      <w:proofErr w:type="spellEnd"/>
      <w:r w:rsidRPr="00EF41B0">
        <w:rPr>
          <w:rStyle w:val="Emphasis"/>
          <w:rFonts w:ascii="Segoe UI" w:hAnsi="Segoe UI" w:cs="Segoe UI"/>
          <w:color w:val="212529"/>
        </w:rPr>
        <w:t>: 10.1136/gutjnl-2023-330616.</w:t>
      </w:r>
    </w:p>
    <w:p w14:paraId="1929F735" w14:textId="38523FCD" w:rsidR="00B240D7" w:rsidRPr="00B240D7" w:rsidRDefault="00B240D7" w:rsidP="00B240D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240D7">
        <w:rPr>
          <w:rFonts w:ascii="Segoe UI" w:hAnsi="Segoe UI" w:cs="Segoe UI"/>
          <w:color w:val="212529"/>
        </w:rPr>
        <w:t xml:space="preserve">Gastro-oesophageal reflux disease (GORD or GERD) is a common disorder defined by the Montreal consensus as the reflux of stomach contents into the oesophagus causing troublesome symptoms and/or complications. In 2014, an international panel of experts convened to develop a framework for the clinical diagnosis of GORD and the modern indications for reflux testing. This became known as the ‘Lyon Consensus’ and was published in Gut in 2018. Here, </w:t>
      </w:r>
      <w:proofErr w:type="spellStart"/>
      <w:r w:rsidRPr="00B240D7">
        <w:rPr>
          <w:rFonts w:ascii="Segoe UI" w:hAnsi="Segoe UI" w:cs="Segoe UI"/>
          <w:color w:val="212529"/>
        </w:rPr>
        <w:t>Gyawali</w:t>
      </w:r>
      <w:proofErr w:type="spellEnd"/>
      <w:r w:rsidRPr="00B240D7">
        <w:rPr>
          <w:rFonts w:ascii="Segoe UI" w:hAnsi="Segoe UI" w:cs="Segoe UI"/>
          <w:color w:val="212529"/>
        </w:rPr>
        <w:t xml:space="preserve"> et al., present the ‘Lyon consensus 2.0’, which provides an update to the modern diagnosis of GORD through creation, voting, and agreement on evidence-based statements generated from the most recent literature. </w:t>
      </w:r>
    </w:p>
    <w:p w14:paraId="0CCF06C0" w14:textId="0AB979D9" w:rsidR="00B240D7" w:rsidRPr="00B240D7" w:rsidRDefault="00B240D7" w:rsidP="00B240D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240D7">
        <w:rPr>
          <w:rFonts w:ascii="Segoe UI" w:hAnsi="Segoe UI" w:cs="Segoe UI"/>
          <w:color w:val="212529"/>
        </w:rPr>
        <w:t xml:space="preserve">The principal of the Lyon Consensus 2.0 is to provide clinical, endoscopic, and physiological evidence to support or refute a diagnosis of GORD. A clear diagnosis requiring treatment is known as ‘actionable GORD’, which is based on conclusive endoscopic and/or physiological evidence. While the presence of typical symptoms, which are heartburn, regurgitation, and oesophageal chest pain, may still warrant empirical trials of anti-secretory therapy, all other symptoms require upfront physiological testing. Within this publication, we see a clear move towards more objective assessment with an emphasis on prolonged wireless monitoring. Some notable changes include Grade B oesophagitis and biopsy proven Barrett’s, regardless of length, being conclusive endoscopic evidence. In addition, wireless physiological thresholds have been set with an acid exposure time &gt;6% for ≥2 days conclusive evidence in unproven GORD. Finally, </w:t>
      </w:r>
      <w:proofErr w:type="spellStart"/>
      <w:r w:rsidRPr="00B240D7">
        <w:rPr>
          <w:rFonts w:ascii="Segoe UI" w:hAnsi="Segoe UI" w:cs="Segoe UI"/>
          <w:color w:val="212529"/>
        </w:rPr>
        <w:t>Gyawali</w:t>
      </w:r>
      <w:proofErr w:type="spellEnd"/>
      <w:r w:rsidRPr="00B240D7">
        <w:rPr>
          <w:rFonts w:ascii="Segoe UI" w:hAnsi="Segoe UI" w:cs="Segoe UI"/>
          <w:color w:val="212529"/>
        </w:rPr>
        <w:t xml:space="preserve"> et al., provide separate recommendations for testing patients with proven GORD to give thresholds on when to escalate treatment. </w:t>
      </w:r>
    </w:p>
    <w:p w14:paraId="7B5F1B0B" w14:textId="7D42A3ED" w:rsidR="00DD3D75" w:rsidRPr="000443E7" w:rsidRDefault="00B240D7" w:rsidP="00B240D7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B240D7">
        <w:rPr>
          <w:rFonts w:ascii="Segoe UI" w:hAnsi="Segoe UI" w:cs="Segoe UI"/>
          <w:color w:val="212529"/>
        </w:rPr>
        <w:t>We encourage all clinicians who manage patients with GORD to familiarise themselves with this easy to navigate diagnostic framework.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056DC0"/>
    <w:rsid w:val="00150375"/>
    <w:rsid w:val="0016269A"/>
    <w:rsid w:val="00246A9F"/>
    <w:rsid w:val="002C1DA3"/>
    <w:rsid w:val="0031385C"/>
    <w:rsid w:val="00507A31"/>
    <w:rsid w:val="00535D91"/>
    <w:rsid w:val="00563322"/>
    <w:rsid w:val="005706A9"/>
    <w:rsid w:val="006D3993"/>
    <w:rsid w:val="006F75D2"/>
    <w:rsid w:val="00890218"/>
    <w:rsid w:val="009175EE"/>
    <w:rsid w:val="00A15E9C"/>
    <w:rsid w:val="00A21741"/>
    <w:rsid w:val="00A6790F"/>
    <w:rsid w:val="00B240D7"/>
    <w:rsid w:val="00B8275A"/>
    <w:rsid w:val="00C814D5"/>
    <w:rsid w:val="00CF5E7E"/>
    <w:rsid w:val="00DD3D75"/>
    <w:rsid w:val="00DE1E27"/>
    <w:rsid w:val="00E96C58"/>
    <w:rsid w:val="00EF41B0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2/36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6</cp:revision>
  <dcterms:created xsi:type="dcterms:W3CDTF">2024-03-12T12:57:00Z</dcterms:created>
  <dcterms:modified xsi:type="dcterms:W3CDTF">2024-03-12T12:58:00Z</dcterms:modified>
</cp:coreProperties>
</file>