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5029F6E" w14:textId="77777777" w:rsidR="00D075C3" w:rsidRDefault="00D075C3" w:rsidP="00D075C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UK and Ireland Joint Advisory Group (JAG) consensus statements for training and certification in diagnostic endoscopic ultrasound (EUS)</w:t>
      </w:r>
    </w:p>
    <w:p w14:paraId="60AB1BB8" w14:textId="77777777" w:rsidR="00D075C3" w:rsidRPr="00D075C3" w:rsidRDefault="00D075C3" w:rsidP="00D075C3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i/>
          <w:iCs/>
          <w:color w:val="212529"/>
        </w:rPr>
      </w:pPr>
      <w:proofErr w:type="spellStart"/>
      <w:r w:rsidRPr="00D075C3">
        <w:rPr>
          <w:rFonts w:ascii="Segoe UI" w:hAnsi="Segoe UI" w:cs="Segoe UI"/>
          <w:i/>
          <w:iCs/>
          <w:color w:val="212529"/>
        </w:rPr>
        <w:t>Menabawey</w:t>
      </w:r>
      <w:proofErr w:type="spellEnd"/>
      <w:r w:rsidRPr="00D075C3">
        <w:rPr>
          <w:rFonts w:ascii="Segoe UI" w:hAnsi="Segoe UI" w:cs="Segoe UI"/>
          <w:i/>
          <w:iCs/>
          <w:color w:val="212529"/>
        </w:rPr>
        <w:t xml:space="preserve"> T, McCrudden R, Shetty D, et al. </w:t>
      </w:r>
      <w:hyperlink r:id="rId5" w:history="1">
        <w:r w:rsidRPr="00D075C3">
          <w:rPr>
            <w:rStyle w:val="Hyperlink"/>
            <w:rFonts w:ascii="Segoe UI" w:hAnsi="Segoe UI" w:cs="Segoe UI"/>
            <w:i/>
            <w:iCs/>
          </w:rPr>
          <w:t>UK and Ireland Joint Advisory Group (JAG) consensus statements for training and certification in diagnostic endoscopic ultrasound (EUS).</w:t>
        </w:r>
      </w:hyperlink>
      <w:r w:rsidRPr="00D075C3">
        <w:rPr>
          <w:rFonts w:ascii="Segoe UI" w:hAnsi="Segoe UI" w:cs="Segoe UI"/>
          <w:i/>
          <w:iCs/>
          <w:color w:val="212529"/>
        </w:rPr>
        <w:t xml:space="preserve"> Gut 2024; 73: 118–130. </w:t>
      </w:r>
      <w:proofErr w:type="spellStart"/>
      <w:r w:rsidRPr="00D075C3">
        <w:rPr>
          <w:rFonts w:ascii="Segoe UI" w:hAnsi="Segoe UI" w:cs="Segoe UI"/>
          <w:i/>
          <w:iCs/>
          <w:color w:val="212529"/>
        </w:rPr>
        <w:t>doi</w:t>
      </w:r>
      <w:proofErr w:type="spellEnd"/>
      <w:r w:rsidRPr="00D075C3">
        <w:rPr>
          <w:rFonts w:ascii="Segoe UI" w:hAnsi="Segoe UI" w:cs="Segoe UI"/>
          <w:i/>
          <w:iCs/>
          <w:color w:val="212529"/>
        </w:rPr>
        <w:t>: 10.1136/gutjnl-2023-329800</w:t>
      </w:r>
    </w:p>
    <w:p w14:paraId="62AB6EB4" w14:textId="5C5224F3" w:rsidR="007B1D9E" w:rsidRPr="007B1D9E" w:rsidRDefault="007B1D9E" w:rsidP="007B1D9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7B1D9E">
        <w:rPr>
          <w:rFonts w:ascii="Segoe UI" w:hAnsi="Segoe UI" w:cs="Segoe UI"/>
          <w:color w:val="212529"/>
        </w:rPr>
        <w:t xml:space="preserve">Endoscopic ultrasound (EUS) combines endoscopy with acquisition/interpretation of radiological images, with or without tissue procurement. This paper by </w:t>
      </w:r>
      <w:proofErr w:type="spellStart"/>
      <w:r w:rsidRPr="007B1D9E">
        <w:rPr>
          <w:rFonts w:ascii="Segoe UI" w:hAnsi="Segoe UI" w:cs="Segoe UI"/>
          <w:color w:val="212529"/>
        </w:rPr>
        <w:t>Menabawey</w:t>
      </w:r>
      <w:proofErr w:type="spellEnd"/>
      <w:r w:rsidRPr="007B1D9E">
        <w:rPr>
          <w:rFonts w:ascii="Segoe UI" w:hAnsi="Segoe UI" w:cs="Segoe UI"/>
          <w:color w:val="212529"/>
        </w:rPr>
        <w:t xml:space="preserve"> et al., builds on the 2011 consensus on EUS service provision and training, and published curricula from other organisations, to develop recommendations for EUS training and certification in the UK and Ireland.</w:t>
      </w:r>
    </w:p>
    <w:p w14:paraId="7DA5E2FB" w14:textId="76AECC44" w:rsidR="007B1D9E" w:rsidRPr="007B1D9E" w:rsidRDefault="007B1D9E" w:rsidP="007B1D9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7B1D9E">
        <w:rPr>
          <w:rFonts w:ascii="Segoe UI" w:hAnsi="Segoe UI" w:cs="Segoe UI"/>
          <w:color w:val="212529"/>
        </w:rPr>
        <w:t xml:space="preserve">A modified Delphi process was conducted </w:t>
      </w:r>
      <w:proofErr w:type="gramStart"/>
      <w:r w:rsidRPr="007B1D9E">
        <w:rPr>
          <w:rFonts w:ascii="Segoe UI" w:hAnsi="Segoe UI" w:cs="Segoe UI"/>
          <w:color w:val="212529"/>
        </w:rPr>
        <w:t>in order to</w:t>
      </w:r>
      <w:proofErr w:type="gramEnd"/>
      <w:r w:rsidRPr="007B1D9E">
        <w:rPr>
          <w:rFonts w:ascii="Segoe UI" w:hAnsi="Segoe UI" w:cs="Segoe UI"/>
          <w:color w:val="212529"/>
        </w:rPr>
        <w:t xml:space="preserve"> make recommendations in four areas: Definition, acquisition and assessment of competence, and post-certification mentorship. Nineteen participants formed a panel representing UK and Ireland training bodies, </w:t>
      </w:r>
      <w:proofErr w:type="gramStart"/>
      <w:r w:rsidRPr="007B1D9E">
        <w:rPr>
          <w:rFonts w:ascii="Segoe UI" w:hAnsi="Segoe UI" w:cs="Segoe UI"/>
          <w:color w:val="212529"/>
        </w:rPr>
        <w:t>trainees</w:t>
      </w:r>
      <w:proofErr w:type="gramEnd"/>
      <w:r w:rsidRPr="007B1D9E">
        <w:rPr>
          <w:rFonts w:ascii="Segoe UI" w:hAnsi="Segoe UI" w:cs="Segoe UI"/>
          <w:color w:val="212529"/>
        </w:rPr>
        <w:t xml:space="preserve"> and key stakeholders. Recommendations were voted upon anonymously. Those that did not meet an 80% agreement threshold were either discarded or amended for repeat vote. </w:t>
      </w:r>
    </w:p>
    <w:p w14:paraId="3B753344" w14:textId="351A376F" w:rsidR="007B1D9E" w:rsidRPr="007B1D9E" w:rsidRDefault="007B1D9E" w:rsidP="007B1D9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7B1D9E">
        <w:rPr>
          <w:rFonts w:ascii="Segoe UI" w:hAnsi="Segoe UI" w:cs="Segoe UI"/>
          <w:color w:val="212529"/>
        </w:rPr>
        <w:t>Thirty-three statements were generated along with keep performance indicators (KPIs) for independent practice, including 250+ hands-on procedures (physically unassisted in &gt;85%) with &gt;75 involving tissue acquisition. These together form the EUS certification pathway. Given the lack of evidence, procedure-based outcomes were favoured over patient-based, and statements were allowed to receive discordant recommendations if deemed integral to training/certification. A syllabus is proposed divided into “early novice”, “intermediate” and “advanced”.</w:t>
      </w:r>
    </w:p>
    <w:p w14:paraId="20327879" w14:textId="1061C722" w:rsidR="007B1D9E" w:rsidRPr="007B1D9E" w:rsidRDefault="007B1D9E" w:rsidP="007B1D9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proofErr w:type="spellStart"/>
      <w:r w:rsidRPr="007B1D9E">
        <w:rPr>
          <w:rFonts w:ascii="Segoe UI" w:hAnsi="Segoe UI" w:cs="Segoe UI"/>
          <w:color w:val="212529"/>
        </w:rPr>
        <w:t>Menabawey</w:t>
      </w:r>
      <w:proofErr w:type="spellEnd"/>
      <w:r w:rsidRPr="007B1D9E">
        <w:rPr>
          <w:rFonts w:ascii="Segoe UI" w:hAnsi="Segoe UI" w:cs="Segoe UI"/>
          <w:color w:val="212529"/>
        </w:rPr>
        <w:t xml:space="preserve"> et al., highlight those varied remits of EUS and a paucity of evidence has limited defining competency in comparison to other procedures. Limitations include a risk of bias from the small size group and from making strong recommendations with weak evidence. It is hoped that high-quality research can stem from this work. </w:t>
      </w:r>
    </w:p>
    <w:p w14:paraId="7B5F1B0B" w14:textId="416A0F86" w:rsidR="00DD3D75" w:rsidRPr="000443E7" w:rsidRDefault="007B1D9E" w:rsidP="007B1D9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7B1D9E">
        <w:rPr>
          <w:rFonts w:ascii="Segoe UI" w:hAnsi="Segoe UI" w:cs="Segoe UI"/>
          <w:color w:val="212529"/>
        </w:rPr>
        <w:t xml:space="preserve">They conclude with a reminder that attaining competence goes beyond procedure numbers, and that competency-based certification pathways produce trainees who continue to meet quality indicators into independent practice. 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50375"/>
    <w:rsid w:val="001D19ED"/>
    <w:rsid w:val="00246A9F"/>
    <w:rsid w:val="007B1D9E"/>
    <w:rsid w:val="00A6790F"/>
    <w:rsid w:val="00A71F20"/>
    <w:rsid w:val="00B8275A"/>
    <w:rsid w:val="00CC6F83"/>
    <w:rsid w:val="00CF5E7E"/>
    <w:rsid w:val="00D075C3"/>
    <w:rsid w:val="00DD3D75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1/1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2024-02-22T16:37:00Z</dcterms:created>
  <dcterms:modified xsi:type="dcterms:W3CDTF">2024-02-22T16:37:00Z</dcterms:modified>
</cp:coreProperties>
</file>