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17FF3F2F" w14:textId="77777777" w:rsidR="004E2B59" w:rsidRDefault="004E2B59" w:rsidP="0079438C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4E2B59">
        <w:rPr>
          <w:rStyle w:val="Strong"/>
          <w:rFonts w:ascii="Segoe UI" w:hAnsi="Segoe UI" w:cs="Segoe UI"/>
          <w:color w:val="212529"/>
        </w:rPr>
        <w:t>Understanding the malignant potential of gastric metaplasia of the oesophagus and its relevance to Barrett’s oesophagus surveillance</w:t>
      </w:r>
    </w:p>
    <w:p w14:paraId="51F109E8" w14:textId="77777777" w:rsidR="004E2B59" w:rsidRPr="004E2B59" w:rsidRDefault="004E2B59" w:rsidP="00696C90">
      <w:pPr>
        <w:pStyle w:val="NormalWeb"/>
        <w:shd w:val="clear" w:color="auto" w:fill="FFFFFF"/>
        <w:rPr>
          <w:rFonts w:ascii="Segoe UI" w:hAnsi="Segoe UI" w:cs="Segoe UI"/>
          <w:i/>
          <w:iCs/>
          <w:color w:val="212529"/>
          <w:shd w:val="clear" w:color="auto" w:fill="FFFFFF"/>
        </w:rPr>
      </w:pPr>
      <w:r w:rsidRPr="004E2B59">
        <w:rPr>
          <w:rFonts w:ascii="Segoe UI" w:hAnsi="Segoe UI" w:cs="Segoe UI"/>
          <w:i/>
          <w:iCs/>
          <w:color w:val="212529"/>
          <w:shd w:val="clear" w:color="auto" w:fill="FFFFFF"/>
        </w:rPr>
        <w:t>Black E, </w:t>
      </w:r>
      <w:proofErr w:type="spellStart"/>
      <w:r w:rsidRPr="004E2B59">
        <w:rPr>
          <w:rFonts w:ascii="Segoe UI" w:hAnsi="Segoe UI" w:cs="Segoe UI"/>
          <w:i/>
          <w:iCs/>
          <w:color w:val="212529"/>
          <w:shd w:val="clear" w:color="auto" w:fill="FFFFFF"/>
        </w:rPr>
        <w:t>Ococks</w:t>
      </w:r>
      <w:proofErr w:type="spellEnd"/>
      <w:r w:rsidRPr="004E2B59">
        <w:rPr>
          <w:rFonts w:ascii="Segoe UI" w:hAnsi="Segoe UI" w:cs="Segoe UI"/>
          <w:i/>
          <w:iCs/>
          <w:color w:val="212529"/>
          <w:shd w:val="clear" w:color="auto" w:fill="FFFFFF"/>
        </w:rPr>
        <w:t> E, Devonshire G</w:t>
      </w:r>
      <w:r w:rsidRPr="004E2B59">
        <w:rPr>
          <w:rStyle w:val="Emphasis"/>
          <w:rFonts w:ascii="Segoe UI" w:hAnsi="Segoe UI" w:cs="Segoe UI"/>
          <w:i w:val="0"/>
          <w:iCs w:val="0"/>
          <w:color w:val="212529"/>
          <w:shd w:val="clear" w:color="auto" w:fill="FFFFFF"/>
        </w:rPr>
        <w:t>, et al.</w:t>
      </w:r>
      <w:r w:rsidRPr="004E2B59">
        <w:rPr>
          <w:rFonts w:ascii="Segoe UI" w:hAnsi="Segoe UI" w:cs="Segoe UI"/>
          <w:i/>
          <w:iCs/>
          <w:color w:val="212529"/>
          <w:shd w:val="clear" w:color="auto" w:fill="FFFFFF"/>
        </w:rPr>
        <w:t> </w:t>
      </w:r>
      <w:hyperlink r:id="rId5" w:history="1">
        <w:r w:rsidRPr="004E2B59">
          <w:rPr>
            <w:rStyle w:val="Hyperlink"/>
            <w:rFonts w:ascii="Segoe UI" w:hAnsi="Segoe UI" w:cs="Segoe UI"/>
            <w:i/>
            <w:iCs/>
            <w:shd w:val="clear" w:color="auto" w:fill="FFFFFF"/>
          </w:rPr>
          <w:t>Understanding the malignant potential of gastric metaplasia of the oesophagus and its relevance to Barrett’s oesophagus surveillance: individual-level data analysis.</w:t>
        </w:r>
      </w:hyperlink>
      <w:r w:rsidRPr="004E2B59">
        <w:rPr>
          <w:rFonts w:ascii="Segoe UI" w:hAnsi="Segoe UI" w:cs="Segoe UI"/>
          <w:i/>
          <w:iCs/>
          <w:color w:val="212529"/>
          <w:shd w:val="clear" w:color="auto" w:fill="FFFFFF"/>
        </w:rPr>
        <w:t> </w:t>
      </w:r>
      <w:r w:rsidRPr="004E2B59">
        <w:rPr>
          <w:rStyle w:val="Emphasis"/>
          <w:rFonts w:ascii="Segoe UI" w:hAnsi="Segoe UI" w:cs="Segoe UI"/>
          <w:i w:val="0"/>
          <w:iCs w:val="0"/>
          <w:color w:val="212529"/>
          <w:shd w:val="clear" w:color="auto" w:fill="FFFFFF"/>
        </w:rPr>
        <w:t>Gut </w:t>
      </w:r>
      <w:r w:rsidRPr="004E2B59">
        <w:rPr>
          <w:rFonts w:ascii="Segoe UI" w:hAnsi="Segoe UI" w:cs="Segoe UI"/>
          <w:i/>
          <w:iCs/>
          <w:color w:val="212529"/>
          <w:shd w:val="clear" w:color="auto" w:fill="FFFFFF"/>
        </w:rPr>
        <w:t xml:space="preserve">2024; 73: 729-740. </w:t>
      </w:r>
      <w:proofErr w:type="spellStart"/>
      <w:r w:rsidRPr="004E2B59">
        <w:rPr>
          <w:rFonts w:ascii="Segoe UI" w:hAnsi="Segoe UI" w:cs="Segoe UI"/>
          <w:i/>
          <w:iCs/>
          <w:color w:val="212529"/>
          <w:shd w:val="clear" w:color="auto" w:fill="FFFFFF"/>
        </w:rPr>
        <w:t>doi</w:t>
      </w:r>
      <w:proofErr w:type="spellEnd"/>
      <w:r w:rsidRPr="004E2B59">
        <w:rPr>
          <w:rFonts w:ascii="Segoe UI" w:hAnsi="Segoe UI" w:cs="Segoe UI"/>
          <w:i/>
          <w:iCs/>
          <w:color w:val="212529"/>
          <w:shd w:val="clear" w:color="auto" w:fill="FFFFFF"/>
        </w:rPr>
        <w:t>: 10.1136/gutjnl-2023-330721. </w:t>
      </w:r>
    </w:p>
    <w:p w14:paraId="6944514C" w14:textId="017E6971" w:rsidR="004E2B59" w:rsidRPr="004E2B59" w:rsidRDefault="004E2B59" w:rsidP="004E2B59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4E2B59">
        <w:rPr>
          <w:rFonts w:ascii="Segoe UI" w:hAnsi="Segoe UI" w:cs="Segoe UI"/>
          <w:color w:val="212529"/>
        </w:rPr>
        <w:t>Barrett’s oesophagus (BE) is characterised by a columnar-lined oesophageal epithelium. In the UK, gastric or intestinal metaplastic glands enable a diagnosis of BE and require surveillance. However, questions remain around the malignant potential of gastric metaplasia (GM). Consequently, Black et al., conducted a retrospective analysis from a prospective database at Addenbrooke’s Hospital (Cambridge, UK) among patients undergoing BE surveillance. By looking at a selected cohort of 244 patients, they used both clinical and genomic evidence to determine the malignant potential of GM.</w:t>
      </w:r>
    </w:p>
    <w:p w14:paraId="1319FC0E" w14:textId="2DFFAFE3" w:rsidR="004E2B59" w:rsidRPr="004E2B59" w:rsidRDefault="004E2B59" w:rsidP="004E2B59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4E2B59">
        <w:rPr>
          <w:rFonts w:ascii="Segoe UI" w:hAnsi="Segoe UI" w:cs="Segoe UI"/>
          <w:color w:val="212529"/>
        </w:rPr>
        <w:t xml:space="preserve">At index, there were 77 patients with short-segment (SS)-GM (i.e., &lt; 3 cm), 23 with long-segment (LS)-GM, and 144 with SS-intestinal metaplasia (IM). During the entire follow-up, patients were classed as GM-only, GM+IM or IM-only. The presence of GM+IM is representative of progression to IM or mis-sampling at index endoscopy, which was more commonly seen in LS-GM (61% vs. 25%). Over a median follow-up of 7.2 years covering 1854 person-years, there was no progression to dysplasia or oesophageal adenocarcinoma (OAC) in GM-only cases compared to 11 cases in IM-only. Subsequently, Black et al., conducted a series of genomic analyses using both whole exome and genome sequencing. These eloquently showed that GM was associated with a significantly lower mutational burden compared to IM in 41 selected cases. Using a separate cohort of 119 patients with previously resected OAC, they also showed that adjacent GM-only BE had very few mutations in early IM/OAC genes and very few shared driver gene mutations. </w:t>
      </w:r>
    </w:p>
    <w:p w14:paraId="7B5F1B0B" w14:textId="66E753C4" w:rsidR="00DD3D75" w:rsidRPr="000443E7" w:rsidRDefault="004E2B59" w:rsidP="004E2B59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4E2B59">
        <w:rPr>
          <w:rFonts w:ascii="Segoe UI" w:hAnsi="Segoe UI" w:cs="Segoe UI"/>
          <w:color w:val="212529"/>
        </w:rPr>
        <w:t>Taken collectively, this paper demonstrates surveillance may not be necessary in SS-GM given the low rate of progression and molecular distinction from BE-IM.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50375"/>
    <w:rsid w:val="00246A9F"/>
    <w:rsid w:val="002D5388"/>
    <w:rsid w:val="0031385C"/>
    <w:rsid w:val="004E2B59"/>
    <w:rsid w:val="00563322"/>
    <w:rsid w:val="00696C90"/>
    <w:rsid w:val="006E7B81"/>
    <w:rsid w:val="0079438C"/>
    <w:rsid w:val="009310AC"/>
    <w:rsid w:val="00A6790F"/>
    <w:rsid w:val="00B8275A"/>
    <w:rsid w:val="00B82D68"/>
    <w:rsid w:val="00C814D5"/>
    <w:rsid w:val="00CF5E7E"/>
    <w:rsid w:val="00DD3D75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F5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5/72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2024-06-11T09:51:00Z</dcterms:created>
  <dcterms:modified xsi:type="dcterms:W3CDTF">2024-06-11T09:51:00Z</dcterms:modified>
</cp:coreProperties>
</file>