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A2D49" w14:textId="77777777" w:rsidR="005F4200" w:rsidRPr="00C34E7A" w:rsidRDefault="005F4200" w:rsidP="005F4200">
      <w:pPr>
        <w:rPr>
          <w:rFonts w:ascii="Arial" w:hAnsi="Arial" w:cs="Arial"/>
        </w:rPr>
      </w:pPr>
      <w:r w:rsidRPr="00C34E7A">
        <w:rPr>
          <w:rFonts w:ascii="Arial" w:hAnsi="Arial" w:cs="Arial"/>
        </w:rPr>
        <w:t xml:space="preserve">Applications are invited for </w:t>
      </w:r>
      <w:r>
        <w:rPr>
          <w:rFonts w:ascii="Arial" w:hAnsi="Arial" w:cs="Arial"/>
        </w:rPr>
        <w:t xml:space="preserve">2 </w:t>
      </w:r>
      <w:r w:rsidRPr="00C34E7A">
        <w:rPr>
          <w:rFonts w:ascii="Arial" w:hAnsi="Arial" w:cs="Arial"/>
        </w:rPr>
        <w:t>post</w:t>
      </w:r>
      <w:r>
        <w:rPr>
          <w:rFonts w:ascii="Arial" w:hAnsi="Arial" w:cs="Arial"/>
        </w:rPr>
        <w:t>s</w:t>
      </w:r>
      <w:r w:rsidRPr="00C34E7A">
        <w:rPr>
          <w:rFonts w:ascii="Arial" w:hAnsi="Arial" w:cs="Arial"/>
        </w:rPr>
        <w:t xml:space="preserve"> of Senior Clinical Fellow in </w:t>
      </w:r>
      <w:proofErr w:type="spellStart"/>
      <w:r w:rsidRPr="00C34E7A">
        <w:rPr>
          <w:rFonts w:ascii="Arial" w:hAnsi="Arial" w:cs="Arial"/>
        </w:rPr>
        <w:t>Pancreatiobiliary</w:t>
      </w:r>
      <w:proofErr w:type="spellEnd"/>
      <w:r w:rsidRPr="00C34E7A">
        <w:rPr>
          <w:rFonts w:ascii="Arial" w:hAnsi="Arial" w:cs="Arial"/>
        </w:rPr>
        <w:t xml:space="preserve"> Medicine within the Royal Free Hospital Liver Unit</w:t>
      </w:r>
      <w:r>
        <w:rPr>
          <w:rFonts w:ascii="Arial" w:hAnsi="Arial" w:cs="Arial"/>
        </w:rPr>
        <w:t>, a liver transplant and tertiary HPB surgical referral centre with a large pancreatobiliary endoscopy service.</w:t>
      </w:r>
    </w:p>
    <w:p w14:paraId="68883125" w14:textId="77777777" w:rsidR="005F4200" w:rsidRPr="00C34E7A" w:rsidRDefault="005F4200" w:rsidP="005F4200">
      <w:pPr>
        <w:rPr>
          <w:rFonts w:ascii="Arial" w:hAnsi="Arial" w:cs="Arial"/>
        </w:rPr>
      </w:pPr>
    </w:p>
    <w:p w14:paraId="4BD23A4C" w14:textId="1D29412B" w:rsidR="005F4200" w:rsidRPr="00C34E7A" w:rsidRDefault="005F4200" w:rsidP="005F4200">
      <w:pPr>
        <w:rPr>
          <w:rFonts w:ascii="Arial" w:hAnsi="Arial" w:cs="Arial"/>
        </w:rPr>
      </w:pPr>
      <w:r w:rsidRPr="00C34E7A">
        <w:rPr>
          <w:rFonts w:ascii="Arial" w:hAnsi="Arial" w:cs="Arial"/>
        </w:rPr>
        <w:t>The successful candidate</w:t>
      </w:r>
      <w:r>
        <w:rPr>
          <w:rFonts w:ascii="Arial" w:hAnsi="Arial" w:cs="Arial"/>
        </w:rPr>
        <w:t>s</w:t>
      </w:r>
      <w:r w:rsidRPr="00C34E7A">
        <w:rPr>
          <w:rFonts w:ascii="Arial" w:hAnsi="Arial" w:cs="Arial"/>
        </w:rPr>
        <w:t xml:space="preserve"> will contribute to the clinical care of patients with a wide range of hepatobiliary disorders through the triage and co-ordination of pancreatobiliary endoscopy referrals, including pre and post procedure management. The post-holder</w:t>
      </w:r>
      <w:r>
        <w:rPr>
          <w:rFonts w:ascii="Arial" w:hAnsi="Arial" w:cs="Arial"/>
        </w:rPr>
        <w:t>s</w:t>
      </w:r>
      <w:r w:rsidRPr="00C34E7A">
        <w:rPr>
          <w:rFonts w:ascii="Arial" w:hAnsi="Arial" w:cs="Arial"/>
        </w:rPr>
        <w:t xml:space="preserve"> will work closely alongside HPB surgery and hepatology teams, as well as liaise with external referrers. </w:t>
      </w:r>
      <w:r>
        <w:rPr>
          <w:rFonts w:ascii="Arial" w:hAnsi="Arial" w:cs="Arial"/>
        </w:rPr>
        <w:t xml:space="preserve">There are 10 </w:t>
      </w:r>
      <w:r w:rsidRPr="00C34E7A">
        <w:rPr>
          <w:rFonts w:ascii="Arial" w:hAnsi="Arial" w:cs="Arial"/>
        </w:rPr>
        <w:t>pancreatobiliary endoscopy lists per week</w:t>
      </w:r>
      <w:r>
        <w:rPr>
          <w:rFonts w:ascii="Arial" w:hAnsi="Arial" w:cs="Arial"/>
        </w:rPr>
        <w:t xml:space="preserve"> with the opportunity to </w:t>
      </w:r>
      <w:r w:rsidRPr="00C34E7A">
        <w:rPr>
          <w:rFonts w:ascii="Arial" w:hAnsi="Arial" w:cs="Arial"/>
        </w:rPr>
        <w:t>perform ERCP and EUS under consultant supervision. The post</w:t>
      </w:r>
      <w:r>
        <w:rPr>
          <w:rFonts w:ascii="Arial" w:hAnsi="Arial" w:cs="Arial"/>
        </w:rPr>
        <w:t>s</w:t>
      </w:r>
      <w:r w:rsidRPr="00C34E7A">
        <w:rPr>
          <w:rFonts w:ascii="Arial" w:hAnsi="Arial" w:cs="Arial"/>
        </w:rPr>
        <w:t xml:space="preserve"> also </w:t>
      </w:r>
      <w:proofErr w:type="gramStart"/>
      <w:r w:rsidRPr="00C34E7A">
        <w:rPr>
          <w:rFonts w:ascii="Arial" w:hAnsi="Arial" w:cs="Arial"/>
        </w:rPr>
        <w:t>offers</w:t>
      </w:r>
      <w:proofErr w:type="gramEnd"/>
      <w:r w:rsidRPr="00C34E7A">
        <w:rPr>
          <w:rFonts w:ascii="Arial" w:hAnsi="Arial" w:cs="Arial"/>
        </w:rPr>
        <w:t xml:space="preserve"> experience in a range of other fluoroscopy-guided interventional endoscopy procedures, including enteral and colonic stent placement and jejunal feeding tube insertion. The appointee</w:t>
      </w:r>
      <w:r>
        <w:rPr>
          <w:rFonts w:ascii="Arial" w:hAnsi="Arial" w:cs="Arial"/>
        </w:rPr>
        <w:t>s</w:t>
      </w:r>
      <w:r w:rsidRPr="00C34E7A">
        <w:rPr>
          <w:rFonts w:ascii="Arial" w:hAnsi="Arial" w:cs="Arial"/>
        </w:rPr>
        <w:t xml:space="preserve"> will be responsible for co-ordination of the weekly benign joint Royal Free/UCLH HPB multi-disciplinary team meeting. Depending upon their training needs and interests, there is the opportunity to gain further experience through attendance at weekly MDTs in liver transplantation, hepatobiliary malignancies and hepatology radiology and pathology meetings.</w:t>
      </w:r>
    </w:p>
    <w:p w14:paraId="5B1357FD" w14:textId="77777777" w:rsidR="005F4200" w:rsidRPr="00C34E7A" w:rsidRDefault="005F4200" w:rsidP="005F4200">
      <w:pPr>
        <w:rPr>
          <w:rFonts w:ascii="Arial" w:hAnsi="Arial" w:cs="Arial"/>
        </w:rPr>
      </w:pPr>
    </w:p>
    <w:p w14:paraId="102371B6" w14:textId="77777777" w:rsidR="005F4200" w:rsidRPr="00C34E7A" w:rsidRDefault="005F4200" w:rsidP="005F4200">
      <w:pPr>
        <w:rPr>
          <w:rFonts w:ascii="Arial" w:hAnsi="Arial" w:cs="Arial"/>
        </w:rPr>
      </w:pPr>
      <w:r w:rsidRPr="00C34E7A">
        <w:rPr>
          <w:rFonts w:ascii="Arial" w:hAnsi="Arial" w:cs="Arial"/>
        </w:rPr>
        <w:t>There is no formal inpatient commitment other than review of patients referred for endoscopic interventions. Attendance at weekly specialist clinics in pancreatobiliary medicine and autoimmune liver diseases is encouraged. The post</w:t>
      </w:r>
      <w:r>
        <w:rPr>
          <w:rFonts w:ascii="Arial" w:hAnsi="Arial" w:cs="Arial"/>
        </w:rPr>
        <w:t xml:space="preserve">s </w:t>
      </w:r>
      <w:proofErr w:type="gramStart"/>
      <w:r w:rsidRPr="00C34E7A">
        <w:rPr>
          <w:rFonts w:ascii="Arial" w:hAnsi="Arial" w:cs="Arial"/>
        </w:rPr>
        <w:t>includes</w:t>
      </w:r>
      <w:proofErr w:type="gramEnd"/>
      <w:r w:rsidRPr="00C34E7A">
        <w:rPr>
          <w:rFonts w:ascii="Arial" w:hAnsi="Arial" w:cs="Arial"/>
        </w:rPr>
        <w:t xml:space="preserve"> a contribution to the out-of-hours rota for hepatology and liver transplantation. The Unit has an excellent research reputation and an interest in research is desirable with suitable projects </w:t>
      </w:r>
      <w:r>
        <w:rPr>
          <w:rFonts w:ascii="Arial" w:hAnsi="Arial" w:cs="Arial"/>
        </w:rPr>
        <w:t>available</w:t>
      </w:r>
      <w:r w:rsidRPr="00C34E7A">
        <w:rPr>
          <w:rFonts w:ascii="Arial" w:hAnsi="Arial" w:cs="Arial"/>
        </w:rPr>
        <w:t xml:space="preserve"> depending on the candidate’s interest.</w:t>
      </w:r>
    </w:p>
    <w:p w14:paraId="3ACDFCB4" w14:textId="77777777" w:rsidR="005F4200" w:rsidRPr="00C34E7A" w:rsidRDefault="005F4200" w:rsidP="005F4200">
      <w:pPr>
        <w:rPr>
          <w:rFonts w:ascii="Arial" w:hAnsi="Arial" w:cs="Arial"/>
        </w:rPr>
      </w:pPr>
    </w:p>
    <w:p w14:paraId="0B6457F7" w14:textId="77777777" w:rsidR="005F4200" w:rsidRPr="00C34E7A" w:rsidRDefault="005F4200" w:rsidP="005F4200">
      <w:pPr>
        <w:rPr>
          <w:rFonts w:ascii="Arial" w:hAnsi="Arial" w:cs="Arial"/>
        </w:rPr>
      </w:pPr>
      <w:r w:rsidRPr="00C34E7A">
        <w:rPr>
          <w:rFonts w:ascii="Arial" w:hAnsi="Arial" w:cs="Arial"/>
        </w:rPr>
        <w:t xml:space="preserve">The post is fully NHS funded and will be most suited to those reaching the end of their specialist training in gastroenterology/ hepatology wishing to gain experience in ERCP and EUS to pursue a sub-specialist interest in hepatobiliary medicine. </w:t>
      </w:r>
    </w:p>
    <w:p w14:paraId="238F58A7" w14:textId="77777777" w:rsidR="005F4200" w:rsidRPr="00C34E7A" w:rsidRDefault="005F4200" w:rsidP="005F4200">
      <w:pPr>
        <w:pStyle w:val="Default"/>
      </w:pPr>
    </w:p>
    <w:p w14:paraId="4D48C1CE" w14:textId="77777777" w:rsidR="005F4200" w:rsidRPr="00C34E7A" w:rsidRDefault="005F4200" w:rsidP="005F4200">
      <w:pPr>
        <w:pStyle w:val="Default"/>
      </w:pPr>
    </w:p>
    <w:p w14:paraId="7B3FCC15" w14:textId="77777777" w:rsidR="005F4200" w:rsidRPr="00C34E7A" w:rsidRDefault="005F4200" w:rsidP="005F4200">
      <w:pPr>
        <w:pStyle w:val="Default"/>
        <w:rPr>
          <w:b/>
        </w:rPr>
      </w:pPr>
      <w:r>
        <w:rPr>
          <w:b/>
        </w:rPr>
        <w:t xml:space="preserve">Hepatology and </w:t>
      </w:r>
      <w:r w:rsidRPr="00C34E7A">
        <w:rPr>
          <w:b/>
        </w:rPr>
        <w:t>Hepatobiliary Medicine at the Royal Free Hospital</w:t>
      </w:r>
    </w:p>
    <w:p w14:paraId="59853012" w14:textId="77777777" w:rsidR="005F4200" w:rsidRDefault="005F4200" w:rsidP="005F4200">
      <w:pPr>
        <w:rPr>
          <w:rFonts w:ascii="Arial" w:hAnsi="Arial" w:cs="Arial"/>
        </w:rPr>
      </w:pPr>
    </w:p>
    <w:p w14:paraId="659218D9" w14:textId="77777777" w:rsidR="005F4200" w:rsidRPr="00C34E7A" w:rsidRDefault="005F4200" w:rsidP="005F4200">
      <w:pPr>
        <w:rPr>
          <w:rFonts w:ascii="Arial" w:hAnsi="Arial" w:cs="Arial"/>
        </w:rPr>
      </w:pPr>
      <w:r w:rsidRPr="00C34E7A">
        <w:rPr>
          <w:rFonts w:ascii="Arial" w:hAnsi="Arial" w:cs="Arial"/>
        </w:rPr>
        <w:t xml:space="preserve">The Royal Free provides </w:t>
      </w:r>
      <w:r>
        <w:rPr>
          <w:rFonts w:ascii="Arial" w:hAnsi="Arial" w:cs="Arial"/>
        </w:rPr>
        <w:t xml:space="preserve">a wide range of </w:t>
      </w:r>
      <w:r w:rsidRPr="00C34E7A">
        <w:rPr>
          <w:rFonts w:ascii="Arial" w:hAnsi="Arial" w:cs="Arial"/>
        </w:rPr>
        <w:t xml:space="preserve">secondary and tertiary Hepatology </w:t>
      </w:r>
      <w:r>
        <w:rPr>
          <w:rFonts w:ascii="Arial" w:hAnsi="Arial" w:cs="Arial"/>
        </w:rPr>
        <w:t xml:space="preserve">and HPB </w:t>
      </w:r>
      <w:r w:rsidRPr="00C34E7A">
        <w:rPr>
          <w:rFonts w:ascii="Arial" w:hAnsi="Arial" w:cs="Arial"/>
        </w:rPr>
        <w:t xml:space="preserve">services. There is excellent access to ITU, a </w:t>
      </w:r>
      <w:proofErr w:type="gramStart"/>
      <w:r w:rsidRPr="00C34E7A">
        <w:rPr>
          <w:rFonts w:ascii="Arial" w:hAnsi="Arial" w:cs="Arial"/>
        </w:rPr>
        <w:t>24 hour</w:t>
      </w:r>
      <w:proofErr w:type="gramEnd"/>
      <w:r w:rsidRPr="00C34E7A">
        <w:rPr>
          <w:rFonts w:ascii="Arial" w:hAnsi="Arial" w:cs="Arial"/>
        </w:rPr>
        <w:t xml:space="preserve"> TIPS rota and 24 hour consultant led GI bleeding rota. The liver transplant service has been established for 25 years</w:t>
      </w:r>
      <w:r>
        <w:rPr>
          <w:rFonts w:ascii="Arial" w:hAnsi="Arial" w:cs="Arial"/>
        </w:rPr>
        <w:t xml:space="preserve"> and t</w:t>
      </w:r>
      <w:r w:rsidRPr="00C34E7A">
        <w:rPr>
          <w:rFonts w:ascii="Arial" w:hAnsi="Arial" w:cs="Arial"/>
        </w:rPr>
        <w:t xml:space="preserve">he number of transplants performed has </w:t>
      </w:r>
      <w:r>
        <w:rPr>
          <w:rFonts w:ascii="Arial" w:hAnsi="Arial" w:cs="Arial"/>
        </w:rPr>
        <w:t xml:space="preserve">recently </w:t>
      </w:r>
      <w:r w:rsidRPr="00C34E7A">
        <w:rPr>
          <w:rFonts w:ascii="Arial" w:hAnsi="Arial" w:cs="Arial"/>
        </w:rPr>
        <w:t>increased recently</w:t>
      </w:r>
      <w:r>
        <w:rPr>
          <w:rFonts w:ascii="Arial" w:hAnsi="Arial" w:cs="Arial"/>
        </w:rPr>
        <w:t xml:space="preserve">, </w:t>
      </w:r>
      <w:r w:rsidRPr="00C34E7A">
        <w:rPr>
          <w:rFonts w:ascii="Arial" w:hAnsi="Arial" w:cs="Arial"/>
        </w:rPr>
        <w:t xml:space="preserve">currently </w:t>
      </w:r>
      <w:r>
        <w:rPr>
          <w:rFonts w:ascii="Arial" w:hAnsi="Arial" w:cs="Arial"/>
        </w:rPr>
        <w:t xml:space="preserve">standing </w:t>
      </w:r>
      <w:r w:rsidRPr="00C34E7A">
        <w:rPr>
          <w:rFonts w:ascii="Arial" w:hAnsi="Arial" w:cs="Arial"/>
        </w:rPr>
        <w:t>at approximately 125 per year. We have a live donor program and are seeking to expand this activity.</w:t>
      </w:r>
      <w:r>
        <w:rPr>
          <w:rFonts w:ascii="Arial" w:hAnsi="Arial" w:cs="Arial"/>
        </w:rPr>
        <w:t xml:space="preserve"> </w:t>
      </w:r>
      <w:r w:rsidRPr="00C34E7A">
        <w:rPr>
          <w:rFonts w:ascii="Arial" w:hAnsi="Arial" w:cs="Arial"/>
        </w:rPr>
        <w:t xml:space="preserve">We are a tertiary centre for patients with hepatobiliary and pancreatic malignancy and the full range of surgical, locoregional and oncological treatments is provided for these patients. Dedicated clinics are established for viral hepatitis, liver metabolic disease, primary hepatocellular malignancy, autoimmune liver disease, PBC, PSC, NAFLD, Vascular liver disease as well as clinics for general hepatology and liver transplantation. </w:t>
      </w:r>
    </w:p>
    <w:p w14:paraId="30D035C4" w14:textId="77777777" w:rsidR="005F4200" w:rsidRPr="00C34E7A" w:rsidRDefault="005F4200" w:rsidP="005F4200">
      <w:pPr>
        <w:pStyle w:val="Default"/>
      </w:pPr>
    </w:p>
    <w:p w14:paraId="022D41B3" w14:textId="7D7451C3" w:rsidR="005F4200" w:rsidRDefault="005F4200" w:rsidP="005F4200">
      <w:pPr>
        <w:rPr>
          <w:rFonts w:ascii="Arial" w:hAnsi="Arial" w:cs="Arial"/>
        </w:rPr>
      </w:pPr>
      <w:r w:rsidRPr="00C34E7A">
        <w:rPr>
          <w:rFonts w:ascii="Arial" w:hAnsi="Arial" w:cs="Arial"/>
        </w:rPr>
        <w:t>The Pancreatobiliary Medicine service complements the</w:t>
      </w:r>
      <w:r>
        <w:rPr>
          <w:rFonts w:ascii="Arial" w:hAnsi="Arial" w:cs="Arial"/>
        </w:rPr>
        <w:t xml:space="preserve"> HPB surgical and liver transplant practices</w:t>
      </w:r>
      <w:r w:rsidRPr="00C34E7A">
        <w:rPr>
          <w:rFonts w:ascii="Arial" w:hAnsi="Arial" w:cs="Arial"/>
        </w:rPr>
        <w:t>. The unit has recently expanded to a total of 10 regular pancreatobiliary endoscopy lists per week (</w:t>
      </w:r>
      <w:r>
        <w:rPr>
          <w:rFonts w:ascii="Arial" w:hAnsi="Arial" w:cs="Arial"/>
        </w:rPr>
        <w:t>five</w:t>
      </w:r>
      <w:r w:rsidRPr="00C34E7A">
        <w:rPr>
          <w:rFonts w:ascii="Arial" w:hAnsi="Arial" w:cs="Arial"/>
        </w:rPr>
        <w:t xml:space="preserve"> with anaesthetic support) and currently undertakes more than 700 ERCP and 500 EUS procedures annually, providing excellent opportunities for clinical training. </w:t>
      </w:r>
      <w:r>
        <w:rPr>
          <w:rFonts w:ascii="Arial" w:hAnsi="Arial" w:cs="Arial"/>
        </w:rPr>
        <w:t>W</w:t>
      </w:r>
      <w:r w:rsidRPr="005F4200">
        <w:rPr>
          <w:rFonts w:ascii="Arial" w:hAnsi="Arial" w:cs="Arial"/>
        </w:rPr>
        <w:t xml:space="preserve">e have an established </w:t>
      </w:r>
      <w:r w:rsidRPr="005F4200">
        <w:rPr>
          <w:rFonts w:ascii="Arial" w:hAnsi="Arial" w:cs="Arial"/>
        </w:rPr>
        <w:lastRenderedPageBreak/>
        <w:t>cholangioscopy service as well as offering interventional EUS procedures including pancreatic cyst and biliary/gallbladder drainage procedures as well as EUS guided gastro jejunostomy.</w:t>
      </w:r>
    </w:p>
    <w:p w14:paraId="0CB9A8A5" w14:textId="77777777" w:rsidR="005F4200" w:rsidRDefault="005F4200" w:rsidP="005F4200">
      <w:pPr>
        <w:rPr>
          <w:rFonts w:ascii="Arial" w:hAnsi="Arial" w:cs="Arial"/>
        </w:rPr>
      </w:pPr>
    </w:p>
    <w:p w14:paraId="199A1B46" w14:textId="67B5E3F2" w:rsidR="005F4200" w:rsidRDefault="005F4200" w:rsidP="005F4200">
      <w:pPr>
        <w:rPr>
          <w:rFonts w:ascii="Arial" w:hAnsi="Arial" w:cs="Arial"/>
        </w:rPr>
      </w:pPr>
      <w:r w:rsidRPr="005F4200">
        <w:rPr>
          <w:rFonts w:ascii="Arial" w:hAnsi="Arial" w:cs="Arial"/>
        </w:rPr>
        <w:t>The department has recently expanded to 3 full time consultants and 1 full time HPB endoscopy CNS and there are plans to expand further. This is an excellent opportunity to train in HPB endoscopy as well as all aspects of hepatology, should this be of interest to the successful candidate. There are many research opportunities with lots of potential for posters, presentations and publications.</w:t>
      </w:r>
    </w:p>
    <w:p w14:paraId="253CA437" w14:textId="77777777" w:rsidR="005F4200" w:rsidRDefault="005F4200" w:rsidP="005F4200">
      <w:pPr>
        <w:rPr>
          <w:rFonts w:ascii="Arial" w:hAnsi="Arial" w:cs="Arial"/>
        </w:rPr>
      </w:pPr>
    </w:p>
    <w:p w14:paraId="70CDEA83" w14:textId="1179515E" w:rsidR="005F4200" w:rsidRPr="005F4200" w:rsidRDefault="005F4200" w:rsidP="005F4200">
      <w:pPr>
        <w:rPr>
          <w:rFonts w:ascii="Arial" w:hAnsi="Arial" w:cs="Arial"/>
        </w:rPr>
      </w:pPr>
      <w:r>
        <w:rPr>
          <w:rFonts w:ascii="Arial" w:hAnsi="Arial" w:cs="Arial"/>
        </w:rPr>
        <w:t>Weekly Timetable</w:t>
      </w:r>
    </w:p>
    <w:p w14:paraId="6F56BD05" w14:textId="77777777" w:rsidR="005F4200" w:rsidRPr="005F4200" w:rsidRDefault="005F4200" w:rsidP="005F4200">
      <w:pPr>
        <w:rPr>
          <w:rFonts w:ascii="Arial" w:hAnsi="Arial" w:cs="Arial"/>
        </w:rPr>
      </w:pPr>
    </w:p>
    <w:tbl>
      <w:tblPr>
        <w:tblStyle w:val="TableGrid"/>
        <w:tblW w:w="0" w:type="auto"/>
        <w:tblLook w:val="04A0" w:firstRow="1" w:lastRow="0" w:firstColumn="1" w:lastColumn="0" w:noHBand="0" w:noVBand="1"/>
      </w:tblPr>
      <w:tblGrid>
        <w:gridCol w:w="1535"/>
        <w:gridCol w:w="1496"/>
        <w:gridCol w:w="1496"/>
        <w:gridCol w:w="1496"/>
        <w:gridCol w:w="1496"/>
        <w:gridCol w:w="1497"/>
      </w:tblGrid>
      <w:tr w:rsidR="005F4200" w14:paraId="64E4C3BC" w14:textId="77777777" w:rsidTr="005F4200">
        <w:tc>
          <w:tcPr>
            <w:tcW w:w="1535" w:type="dxa"/>
          </w:tcPr>
          <w:p w14:paraId="380B4B03" w14:textId="1501ECBE" w:rsidR="005F4200" w:rsidRDefault="005F4200" w:rsidP="005F4200">
            <w:pPr>
              <w:rPr>
                <w:rFonts w:ascii="Arial" w:hAnsi="Arial" w:cs="Arial"/>
              </w:rPr>
            </w:pPr>
          </w:p>
        </w:tc>
        <w:tc>
          <w:tcPr>
            <w:tcW w:w="1496" w:type="dxa"/>
          </w:tcPr>
          <w:p w14:paraId="0707D702" w14:textId="34ED8A5D" w:rsidR="005F4200" w:rsidRDefault="005F4200" w:rsidP="005F4200">
            <w:pPr>
              <w:rPr>
                <w:rFonts w:ascii="Arial" w:hAnsi="Arial" w:cs="Arial"/>
              </w:rPr>
            </w:pPr>
            <w:r>
              <w:rPr>
                <w:rFonts w:ascii="Arial" w:hAnsi="Arial" w:cs="Arial"/>
              </w:rPr>
              <w:t xml:space="preserve">Monday </w:t>
            </w:r>
          </w:p>
        </w:tc>
        <w:tc>
          <w:tcPr>
            <w:tcW w:w="1496" w:type="dxa"/>
          </w:tcPr>
          <w:p w14:paraId="24498869" w14:textId="54E5E5B5" w:rsidR="005F4200" w:rsidRDefault="005F4200" w:rsidP="005F4200">
            <w:pPr>
              <w:rPr>
                <w:rFonts w:ascii="Arial" w:hAnsi="Arial" w:cs="Arial"/>
              </w:rPr>
            </w:pPr>
            <w:r>
              <w:rPr>
                <w:rFonts w:ascii="Arial" w:hAnsi="Arial" w:cs="Arial"/>
              </w:rPr>
              <w:t>Tuesday</w:t>
            </w:r>
          </w:p>
        </w:tc>
        <w:tc>
          <w:tcPr>
            <w:tcW w:w="1496" w:type="dxa"/>
          </w:tcPr>
          <w:p w14:paraId="3402E136" w14:textId="1AB0D8EC" w:rsidR="005F4200" w:rsidRDefault="005F4200" w:rsidP="005F4200">
            <w:pPr>
              <w:rPr>
                <w:rFonts w:ascii="Arial" w:hAnsi="Arial" w:cs="Arial"/>
              </w:rPr>
            </w:pPr>
            <w:r>
              <w:rPr>
                <w:rFonts w:ascii="Arial" w:hAnsi="Arial" w:cs="Arial"/>
              </w:rPr>
              <w:t>Wednesday</w:t>
            </w:r>
          </w:p>
        </w:tc>
        <w:tc>
          <w:tcPr>
            <w:tcW w:w="1496" w:type="dxa"/>
          </w:tcPr>
          <w:p w14:paraId="6D86AFE1" w14:textId="4181A424" w:rsidR="005F4200" w:rsidRDefault="005F4200" w:rsidP="005F4200">
            <w:pPr>
              <w:rPr>
                <w:rFonts w:ascii="Arial" w:hAnsi="Arial" w:cs="Arial"/>
              </w:rPr>
            </w:pPr>
            <w:r>
              <w:rPr>
                <w:rFonts w:ascii="Arial" w:hAnsi="Arial" w:cs="Arial"/>
              </w:rPr>
              <w:t>Thursday</w:t>
            </w:r>
          </w:p>
        </w:tc>
        <w:tc>
          <w:tcPr>
            <w:tcW w:w="1497" w:type="dxa"/>
          </w:tcPr>
          <w:p w14:paraId="63162DB7" w14:textId="1AA2FAE9" w:rsidR="005F4200" w:rsidRDefault="005F4200" w:rsidP="005F4200">
            <w:pPr>
              <w:rPr>
                <w:rFonts w:ascii="Arial" w:hAnsi="Arial" w:cs="Arial"/>
              </w:rPr>
            </w:pPr>
            <w:r>
              <w:rPr>
                <w:rFonts w:ascii="Arial" w:hAnsi="Arial" w:cs="Arial"/>
              </w:rPr>
              <w:t>Friday</w:t>
            </w:r>
          </w:p>
        </w:tc>
      </w:tr>
      <w:tr w:rsidR="005F4200" w14:paraId="0E980253" w14:textId="77777777" w:rsidTr="005F4200">
        <w:tc>
          <w:tcPr>
            <w:tcW w:w="1535" w:type="dxa"/>
          </w:tcPr>
          <w:p w14:paraId="3735DF9C" w14:textId="7C463AD1" w:rsidR="005F4200" w:rsidRDefault="005F4200" w:rsidP="005F4200">
            <w:pPr>
              <w:rPr>
                <w:rFonts w:ascii="Arial" w:hAnsi="Arial" w:cs="Arial"/>
              </w:rPr>
            </w:pPr>
            <w:r>
              <w:rPr>
                <w:rFonts w:ascii="Arial" w:hAnsi="Arial" w:cs="Arial"/>
              </w:rPr>
              <w:t>AM</w:t>
            </w:r>
          </w:p>
        </w:tc>
        <w:tc>
          <w:tcPr>
            <w:tcW w:w="1496" w:type="dxa"/>
          </w:tcPr>
          <w:p w14:paraId="11FBC1BA" w14:textId="5F613D0A" w:rsidR="005F4200" w:rsidRDefault="005F4200" w:rsidP="005F4200">
            <w:pPr>
              <w:rPr>
                <w:rFonts w:ascii="Arial" w:hAnsi="Arial" w:cs="Arial"/>
              </w:rPr>
            </w:pPr>
            <w:r>
              <w:rPr>
                <w:rFonts w:ascii="Arial" w:hAnsi="Arial" w:cs="Arial"/>
              </w:rPr>
              <w:t>Buffer meeting + M&amp;M</w:t>
            </w:r>
          </w:p>
        </w:tc>
        <w:tc>
          <w:tcPr>
            <w:tcW w:w="1496" w:type="dxa"/>
          </w:tcPr>
          <w:p w14:paraId="28D0351F" w14:textId="48515260" w:rsidR="005F4200" w:rsidRDefault="005F4200" w:rsidP="005F4200">
            <w:pPr>
              <w:rPr>
                <w:rFonts w:ascii="Arial" w:hAnsi="Arial" w:cs="Arial"/>
              </w:rPr>
            </w:pPr>
            <w:r>
              <w:rPr>
                <w:rFonts w:ascii="Arial" w:hAnsi="Arial" w:cs="Arial"/>
              </w:rPr>
              <w:t>ERCP List</w:t>
            </w:r>
          </w:p>
        </w:tc>
        <w:tc>
          <w:tcPr>
            <w:tcW w:w="1496" w:type="dxa"/>
          </w:tcPr>
          <w:p w14:paraId="5692AABF" w14:textId="2CB206AD" w:rsidR="005F4200" w:rsidRDefault="005F4200" w:rsidP="005F4200">
            <w:pPr>
              <w:rPr>
                <w:rFonts w:ascii="Arial" w:hAnsi="Arial" w:cs="Arial"/>
              </w:rPr>
            </w:pPr>
            <w:r>
              <w:rPr>
                <w:rFonts w:ascii="Arial" w:hAnsi="Arial" w:cs="Arial"/>
              </w:rPr>
              <w:t xml:space="preserve">Benign HPB MDT </w:t>
            </w:r>
            <w:proofErr w:type="gramStart"/>
            <w:r>
              <w:rPr>
                <w:rFonts w:ascii="Arial" w:hAnsi="Arial" w:cs="Arial"/>
              </w:rPr>
              <w:t xml:space="preserve">+  </w:t>
            </w:r>
            <w:r>
              <w:rPr>
                <w:rFonts w:ascii="Arial" w:hAnsi="Arial" w:cs="Arial"/>
              </w:rPr>
              <w:t>EUS</w:t>
            </w:r>
            <w:proofErr w:type="gramEnd"/>
            <w:r>
              <w:rPr>
                <w:rFonts w:ascii="Arial" w:hAnsi="Arial" w:cs="Arial"/>
              </w:rPr>
              <w:t>/ERCP list</w:t>
            </w:r>
            <w:r>
              <w:rPr>
                <w:rFonts w:ascii="Arial" w:hAnsi="Arial" w:cs="Arial"/>
              </w:rPr>
              <w:t xml:space="preserve"> - GA</w:t>
            </w:r>
          </w:p>
        </w:tc>
        <w:tc>
          <w:tcPr>
            <w:tcW w:w="1496" w:type="dxa"/>
          </w:tcPr>
          <w:p w14:paraId="53AD3BF9" w14:textId="0B7F20BF" w:rsidR="005F4200" w:rsidRDefault="005F4200" w:rsidP="005F4200">
            <w:pPr>
              <w:rPr>
                <w:rFonts w:ascii="Arial" w:hAnsi="Arial" w:cs="Arial"/>
              </w:rPr>
            </w:pPr>
            <w:r>
              <w:rPr>
                <w:rFonts w:ascii="Arial" w:hAnsi="Arial" w:cs="Arial"/>
              </w:rPr>
              <w:t>EUS/ERCP list</w:t>
            </w:r>
          </w:p>
        </w:tc>
        <w:tc>
          <w:tcPr>
            <w:tcW w:w="1497" w:type="dxa"/>
          </w:tcPr>
          <w:p w14:paraId="37E2B073" w14:textId="511319CA" w:rsidR="005F4200" w:rsidRDefault="005F4200" w:rsidP="005F4200">
            <w:pPr>
              <w:rPr>
                <w:rFonts w:ascii="Arial" w:hAnsi="Arial" w:cs="Arial"/>
              </w:rPr>
            </w:pPr>
            <w:r>
              <w:rPr>
                <w:rFonts w:ascii="Arial" w:hAnsi="Arial" w:cs="Arial"/>
              </w:rPr>
              <w:t>EUS/ERCP list - GA</w:t>
            </w:r>
          </w:p>
        </w:tc>
      </w:tr>
      <w:tr w:rsidR="005F4200" w14:paraId="4C0D3E15" w14:textId="77777777" w:rsidTr="005F4200">
        <w:tc>
          <w:tcPr>
            <w:tcW w:w="1535" w:type="dxa"/>
          </w:tcPr>
          <w:p w14:paraId="789DD5C2" w14:textId="3EF42741" w:rsidR="005F4200" w:rsidRDefault="005F4200" w:rsidP="005F4200">
            <w:pPr>
              <w:rPr>
                <w:rFonts w:ascii="Arial" w:hAnsi="Arial" w:cs="Arial"/>
              </w:rPr>
            </w:pPr>
            <w:r>
              <w:rPr>
                <w:rFonts w:ascii="Arial" w:hAnsi="Arial" w:cs="Arial"/>
              </w:rPr>
              <w:t>PM</w:t>
            </w:r>
          </w:p>
        </w:tc>
        <w:tc>
          <w:tcPr>
            <w:tcW w:w="1496" w:type="dxa"/>
          </w:tcPr>
          <w:p w14:paraId="7B29FDFE" w14:textId="7011F5EB" w:rsidR="005F4200" w:rsidRDefault="005F4200" w:rsidP="005F4200">
            <w:pPr>
              <w:rPr>
                <w:rFonts w:ascii="Arial" w:hAnsi="Arial" w:cs="Arial"/>
              </w:rPr>
            </w:pPr>
            <w:r>
              <w:rPr>
                <w:rFonts w:ascii="Arial" w:hAnsi="Arial" w:cs="Arial"/>
              </w:rPr>
              <w:t>ERCP List - GA</w:t>
            </w:r>
          </w:p>
        </w:tc>
        <w:tc>
          <w:tcPr>
            <w:tcW w:w="1496" w:type="dxa"/>
          </w:tcPr>
          <w:p w14:paraId="5A1E68BD" w14:textId="5DFECF80" w:rsidR="005F4200" w:rsidRDefault="005F4200" w:rsidP="005F4200">
            <w:pPr>
              <w:rPr>
                <w:rFonts w:ascii="Arial" w:hAnsi="Arial" w:cs="Arial"/>
              </w:rPr>
            </w:pPr>
            <w:r>
              <w:rPr>
                <w:rFonts w:ascii="Arial" w:hAnsi="Arial" w:cs="Arial"/>
              </w:rPr>
              <w:t>EUS/ERCP list</w:t>
            </w:r>
          </w:p>
        </w:tc>
        <w:tc>
          <w:tcPr>
            <w:tcW w:w="1496" w:type="dxa"/>
          </w:tcPr>
          <w:p w14:paraId="5BA4FED7" w14:textId="7E7EA138" w:rsidR="005F4200" w:rsidRDefault="005F4200" w:rsidP="005F4200">
            <w:pPr>
              <w:rPr>
                <w:rFonts w:ascii="Arial" w:hAnsi="Arial" w:cs="Arial"/>
              </w:rPr>
            </w:pPr>
            <w:r>
              <w:rPr>
                <w:rFonts w:ascii="Arial" w:hAnsi="Arial" w:cs="Arial"/>
              </w:rPr>
              <w:t xml:space="preserve">EUS/ERCP list </w:t>
            </w:r>
            <w:r>
              <w:rPr>
                <w:rFonts w:ascii="Arial" w:hAnsi="Arial" w:cs="Arial"/>
              </w:rPr>
              <w:t>–</w:t>
            </w:r>
            <w:r>
              <w:rPr>
                <w:rFonts w:ascii="Arial" w:hAnsi="Arial" w:cs="Arial"/>
              </w:rPr>
              <w:t xml:space="preserve"> GA</w:t>
            </w:r>
            <w:r>
              <w:rPr>
                <w:rFonts w:ascii="Arial" w:hAnsi="Arial" w:cs="Arial"/>
              </w:rPr>
              <w:t xml:space="preserve"> + EUS list</w:t>
            </w:r>
          </w:p>
        </w:tc>
        <w:tc>
          <w:tcPr>
            <w:tcW w:w="1496" w:type="dxa"/>
          </w:tcPr>
          <w:p w14:paraId="63D15253" w14:textId="2717F975" w:rsidR="005F4200" w:rsidRDefault="005F4200" w:rsidP="005F4200">
            <w:pPr>
              <w:rPr>
                <w:rFonts w:ascii="Arial" w:hAnsi="Arial" w:cs="Arial"/>
              </w:rPr>
            </w:pPr>
            <w:r>
              <w:rPr>
                <w:rFonts w:ascii="Arial" w:hAnsi="Arial" w:cs="Arial"/>
              </w:rPr>
              <w:t>EUS/ERCP list</w:t>
            </w:r>
          </w:p>
        </w:tc>
        <w:tc>
          <w:tcPr>
            <w:tcW w:w="1497" w:type="dxa"/>
          </w:tcPr>
          <w:p w14:paraId="70501A48" w14:textId="64D132F2" w:rsidR="005F4200" w:rsidRDefault="005F4200" w:rsidP="005F4200">
            <w:pPr>
              <w:rPr>
                <w:rFonts w:ascii="Arial" w:hAnsi="Arial" w:cs="Arial"/>
              </w:rPr>
            </w:pPr>
            <w:r>
              <w:rPr>
                <w:rFonts w:ascii="Arial" w:hAnsi="Arial" w:cs="Arial"/>
              </w:rPr>
              <w:t>EUS/ERCP list - GA</w:t>
            </w:r>
          </w:p>
        </w:tc>
      </w:tr>
    </w:tbl>
    <w:p w14:paraId="3EAB807D" w14:textId="28BF2605" w:rsidR="005F4200" w:rsidRDefault="005F4200" w:rsidP="005F4200">
      <w:pPr>
        <w:rPr>
          <w:rFonts w:ascii="Arial" w:hAnsi="Arial" w:cs="Arial"/>
        </w:rPr>
      </w:pPr>
    </w:p>
    <w:p w14:paraId="546CFE8C" w14:textId="77777777" w:rsidR="005F4200" w:rsidRPr="00C34E7A" w:rsidRDefault="005F4200" w:rsidP="005F4200">
      <w:pPr>
        <w:pStyle w:val="Default"/>
      </w:pPr>
    </w:p>
    <w:p w14:paraId="746E111B" w14:textId="77777777" w:rsidR="005F4200" w:rsidRPr="00C34E7A" w:rsidRDefault="005F4200" w:rsidP="005F4200">
      <w:pPr>
        <w:pStyle w:val="Default"/>
      </w:pPr>
      <w:r w:rsidRPr="00C34E7A">
        <w:t xml:space="preserve">For further information, please contact: </w:t>
      </w:r>
    </w:p>
    <w:p w14:paraId="3D932741" w14:textId="77777777" w:rsidR="005F4200" w:rsidRPr="00C34E7A" w:rsidRDefault="005F4200" w:rsidP="005F4200">
      <w:pPr>
        <w:pStyle w:val="Default"/>
      </w:pPr>
      <w:r w:rsidRPr="00C34E7A">
        <w:t>Dr Douglas Thorburn: douglas.thorburn@nhs.net, 020 3758 2000</w:t>
      </w:r>
    </w:p>
    <w:p w14:paraId="180CEC38" w14:textId="57BA7FA1" w:rsidR="00450766" w:rsidRDefault="005F4200" w:rsidP="005F4200">
      <w:r w:rsidRPr="00C34E7A">
        <w:t>extension: 35081</w:t>
      </w:r>
      <w:r>
        <w:t xml:space="preserve">, </w:t>
      </w:r>
      <w:r w:rsidRPr="00C34E7A">
        <w:t>Dr Aileen Marshall: aileen.marshall@nhs.net Tel: 020 3758 2000 Ext 38325</w:t>
      </w:r>
      <w:r>
        <w:t xml:space="preserve"> or Dr Jonathan Potts: </w:t>
      </w:r>
      <w:hyperlink r:id="rId4" w:history="1">
        <w:r w:rsidRPr="009922F2">
          <w:rPr>
            <w:rStyle w:val="Hyperlink"/>
          </w:rPr>
          <w:t>jonathan.potts@nhs.net</w:t>
        </w:r>
      </w:hyperlink>
      <w:r>
        <w:t>, harry.martin@nhs.net</w:t>
      </w:r>
    </w:p>
    <w:sectPr w:rsidR="00450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00"/>
    <w:rsid w:val="00450766"/>
    <w:rsid w:val="005F4200"/>
    <w:rsid w:val="006F5950"/>
    <w:rsid w:val="00FA2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C86C"/>
  <w15:chartTrackingRefBased/>
  <w15:docId w15:val="{D62D0EA1-30B6-481A-B2AE-21423F09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0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F42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42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420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420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F420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F420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F420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F420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F420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200"/>
    <w:rPr>
      <w:rFonts w:eastAsiaTheme="majorEastAsia" w:cstheme="majorBidi"/>
      <w:color w:val="272727" w:themeColor="text1" w:themeTint="D8"/>
    </w:rPr>
  </w:style>
  <w:style w:type="paragraph" w:styleId="Title">
    <w:name w:val="Title"/>
    <w:basedOn w:val="Normal"/>
    <w:next w:val="Normal"/>
    <w:link w:val="TitleChar"/>
    <w:uiPriority w:val="10"/>
    <w:qFormat/>
    <w:rsid w:val="005F420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4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20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4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20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F4200"/>
    <w:rPr>
      <w:i/>
      <w:iCs/>
      <w:color w:val="404040" w:themeColor="text1" w:themeTint="BF"/>
    </w:rPr>
  </w:style>
  <w:style w:type="paragraph" w:styleId="ListParagraph">
    <w:name w:val="List Paragraph"/>
    <w:basedOn w:val="Normal"/>
    <w:uiPriority w:val="34"/>
    <w:qFormat/>
    <w:rsid w:val="005F420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F4200"/>
    <w:rPr>
      <w:i/>
      <w:iCs/>
      <w:color w:val="0F4761" w:themeColor="accent1" w:themeShade="BF"/>
    </w:rPr>
  </w:style>
  <w:style w:type="paragraph" w:styleId="IntenseQuote">
    <w:name w:val="Intense Quote"/>
    <w:basedOn w:val="Normal"/>
    <w:next w:val="Normal"/>
    <w:link w:val="IntenseQuoteChar"/>
    <w:uiPriority w:val="30"/>
    <w:qFormat/>
    <w:rsid w:val="005F420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F4200"/>
    <w:rPr>
      <w:i/>
      <w:iCs/>
      <w:color w:val="0F4761" w:themeColor="accent1" w:themeShade="BF"/>
    </w:rPr>
  </w:style>
  <w:style w:type="character" w:styleId="IntenseReference">
    <w:name w:val="Intense Reference"/>
    <w:basedOn w:val="DefaultParagraphFont"/>
    <w:uiPriority w:val="32"/>
    <w:qFormat/>
    <w:rsid w:val="005F4200"/>
    <w:rPr>
      <w:b/>
      <w:bCs/>
      <w:smallCaps/>
      <w:color w:val="0F4761" w:themeColor="accent1" w:themeShade="BF"/>
      <w:spacing w:val="5"/>
    </w:rPr>
  </w:style>
  <w:style w:type="paragraph" w:customStyle="1" w:styleId="Default">
    <w:name w:val="Default"/>
    <w:rsid w:val="005F4200"/>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Hyperlink">
    <w:name w:val="Hyperlink"/>
    <w:basedOn w:val="DefaultParagraphFont"/>
    <w:uiPriority w:val="99"/>
    <w:unhideWhenUsed/>
    <w:rsid w:val="005F4200"/>
    <w:rPr>
      <w:color w:val="467886" w:themeColor="hyperlink"/>
      <w:u w:val="single"/>
    </w:rPr>
  </w:style>
  <w:style w:type="character" w:styleId="UnresolvedMention">
    <w:name w:val="Unresolved Mention"/>
    <w:basedOn w:val="DefaultParagraphFont"/>
    <w:uiPriority w:val="99"/>
    <w:semiHidden/>
    <w:unhideWhenUsed/>
    <w:rsid w:val="005F4200"/>
    <w:rPr>
      <w:color w:val="605E5C"/>
      <w:shd w:val="clear" w:color="auto" w:fill="E1DFDD"/>
    </w:rPr>
  </w:style>
  <w:style w:type="table" w:styleId="TableGrid">
    <w:name w:val="Table Grid"/>
    <w:basedOn w:val="TableNormal"/>
    <w:uiPriority w:val="39"/>
    <w:rsid w:val="005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907272">
      <w:bodyDiv w:val="1"/>
      <w:marLeft w:val="0"/>
      <w:marRight w:val="0"/>
      <w:marTop w:val="0"/>
      <w:marBottom w:val="0"/>
      <w:divBdr>
        <w:top w:val="none" w:sz="0" w:space="0" w:color="auto"/>
        <w:left w:val="none" w:sz="0" w:space="0" w:color="auto"/>
        <w:bottom w:val="none" w:sz="0" w:space="0" w:color="auto"/>
        <w:right w:val="none" w:sz="0" w:space="0" w:color="auto"/>
      </w:divBdr>
    </w:div>
    <w:div w:id="1118260256">
      <w:bodyDiv w:val="1"/>
      <w:marLeft w:val="0"/>
      <w:marRight w:val="0"/>
      <w:marTop w:val="0"/>
      <w:marBottom w:val="0"/>
      <w:divBdr>
        <w:top w:val="none" w:sz="0" w:space="0" w:color="auto"/>
        <w:left w:val="none" w:sz="0" w:space="0" w:color="auto"/>
        <w:bottom w:val="none" w:sz="0" w:space="0" w:color="auto"/>
        <w:right w:val="none" w:sz="0" w:space="0" w:color="auto"/>
      </w:divBdr>
    </w:div>
    <w:div w:id="1254360365">
      <w:bodyDiv w:val="1"/>
      <w:marLeft w:val="0"/>
      <w:marRight w:val="0"/>
      <w:marTop w:val="0"/>
      <w:marBottom w:val="0"/>
      <w:divBdr>
        <w:top w:val="none" w:sz="0" w:space="0" w:color="auto"/>
        <w:left w:val="none" w:sz="0" w:space="0" w:color="auto"/>
        <w:bottom w:val="none" w:sz="0" w:space="0" w:color="auto"/>
        <w:right w:val="none" w:sz="0" w:space="0" w:color="auto"/>
      </w:divBdr>
    </w:div>
    <w:div w:id="20596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nathan.pott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Harry (ROYAL FREE LONDON NHS FOUNDATION TRUST)</dc:creator>
  <cp:keywords/>
  <dc:description/>
  <cp:lastModifiedBy>MARTIN, Harry (ROYAL FREE LONDON NHS FOUNDATION TRUST)</cp:lastModifiedBy>
  <cp:revision>1</cp:revision>
  <dcterms:created xsi:type="dcterms:W3CDTF">2024-11-28T15:34:00Z</dcterms:created>
  <dcterms:modified xsi:type="dcterms:W3CDTF">2024-11-28T15:41:00Z</dcterms:modified>
</cp:coreProperties>
</file>