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8EDED" w14:textId="77777777" w:rsidR="00CF5E7E" w:rsidRDefault="00CF5E7E" w:rsidP="00CF5E7E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</w:p>
    <w:p w14:paraId="6CCC7489" w14:textId="77777777" w:rsidR="00CF5E7E" w:rsidRDefault="00CF5E7E" w:rsidP="00CF5E7E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  <w:r>
        <w:rPr>
          <w:rFonts w:ascii="Segoe UI" w:hAnsi="Segoe UI" w:cs="Segoe UI"/>
          <w:b/>
          <w:bCs/>
          <w:noProof/>
          <w:color w:val="212529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B664798" wp14:editId="334B44B9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2381250" cy="734695"/>
            <wp:effectExtent l="0" t="0" r="0" b="8255"/>
            <wp:wrapSquare wrapText="bothSides"/>
            <wp:docPr id="1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black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9FAAFF" w14:textId="77777777" w:rsidR="00CF5E7E" w:rsidRDefault="00CF5E7E" w:rsidP="00CF5E7E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</w:p>
    <w:p w14:paraId="5A6FE2F5" w14:textId="77777777" w:rsidR="00CF5E7E" w:rsidRDefault="00CF5E7E" w:rsidP="00CF5E7E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</w:p>
    <w:p w14:paraId="621DA1C0" w14:textId="77777777" w:rsidR="00FE27C8" w:rsidRDefault="00FE27C8" w:rsidP="00FE27C8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Style w:val="Strong"/>
          <w:rFonts w:ascii="Segoe UI" w:hAnsi="Segoe UI" w:cs="Segoe UI"/>
          <w:color w:val="212529"/>
        </w:rPr>
        <w:t>Novel prognostic biomarkers in decompensated cirrhosis</w:t>
      </w:r>
    </w:p>
    <w:p w14:paraId="25D33F35" w14:textId="77777777" w:rsidR="00FE27C8" w:rsidRDefault="00FE27C8" w:rsidP="00FE27C8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proofErr w:type="spellStart"/>
      <w:r>
        <w:rPr>
          <w:rFonts w:ascii="Segoe UI" w:hAnsi="Segoe UI" w:cs="Segoe UI"/>
          <w:color w:val="212529"/>
        </w:rPr>
        <w:t>Juanola</w:t>
      </w:r>
      <w:proofErr w:type="spellEnd"/>
      <w:r>
        <w:rPr>
          <w:rFonts w:ascii="Segoe UI" w:hAnsi="Segoe UI" w:cs="Segoe UI"/>
          <w:color w:val="212529"/>
        </w:rPr>
        <w:t xml:space="preserve"> A, Ma A, de Wit K On behalf of </w:t>
      </w:r>
      <w:proofErr w:type="spellStart"/>
      <w:r>
        <w:rPr>
          <w:rFonts w:ascii="Segoe UI" w:hAnsi="Segoe UI" w:cs="Segoe UI"/>
          <w:color w:val="212529"/>
        </w:rPr>
        <w:t>LiverHope</w:t>
      </w:r>
      <w:proofErr w:type="spellEnd"/>
      <w:r>
        <w:rPr>
          <w:rFonts w:ascii="Segoe UI" w:hAnsi="Segoe UI" w:cs="Segoe UI"/>
          <w:color w:val="212529"/>
        </w:rPr>
        <w:t xml:space="preserve"> Investigators, et al. </w:t>
      </w:r>
      <w:hyperlink r:id="rId5" w:history="1">
        <w:r>
          <w:rPr>
            <w:rStyle w:val="Hyperlink"/>
            <w:rFonts w:ascii="Segoe UI" w:hAnsi="Segoe UI" w:cs="Segoe UI"/>
          </w:rPr>
          <w:t>Novel prognostic biomarkers in decompensated cirrhosis: a systematic review and meta-analysis.</w:t>
        </w:r>
      </w:hyperlink>
      <w:r>
        <w:rPr>
          <w:rFonts w:ascii="Segoe UI" w:hAnsi="Segoe UI" w:cs="Segoe UI"/>
          <w:color w:val="212529"/>
        </w:rPr>
        <w:t xml:space="preserve"> Gut 2024; 73: 156-165. </w:t>
      </w:r>
      <w:proofErr w:type="spellStart"/>
      <w:r>
        <w:rPr>
          <w:rFonts w:ascii="Segoe UI" w:hAnsi="Segoe UI" w:cs="Segoe UI"/>
          <w:color w:val="212529"/>
        </w:rPr>
        <w:t>doi</w:t>
      </w:r>
      <w:proofErr w:type="spellEnd"/>
      <w:r>
        <w:rPr>
          <w:rFonts w:ascii="Segoe UI" w:hAnsi="Segoe UI" w:cs="Segoe UI"/>
          <w:color w:val="212529"/>
        </w:rPr>
        <w:t>: 10.1136/gutjnl-2023-329923.</w:t>
      </w:r>
    </w:p>
    <w:p w14:paraId="4FCDBF0E" w14:textId="3D20EA4F" w:rsidR="00140094" w:rsidRPr="00140094" w:rsidRDefault="00140094" w:rsidP="00140094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r w:rsidRPr="00140094">
        <w:rPr>
          <w:rFonts w:ascii="Segoe UI" w:hAnsi="Segoe UI" w:cs="Segoe UI"/>
          <w:color w:val="212529"/>
        </w:rPr>
        <w:t xml:space="preserve">In this systematic review and meta-analysis, </w:t>
      </w:r>
      <w:proofErr w:type="spellStart"/>
      <w:r w:rsidRPr="00140094">
        <w:rPr>
          <w:rFonts w:ascii="Segoe UI" w:hAnsi="Segoe UI" w:cs="Segoe UI"/>
          <w:color w:val="212529"/>
        </w:rPr>
        <w:t>Juanola</w:t>
      </w:r>
      <w:proofErr w:type="spellEnd"/>
      <w:r w:rsidRPr="00140094">
        <w:rPr>
          <w:rFonts w:ascii="Segoe UI" w:hAnsi="Segoe UI" w:cs="Segoe UI"/>
          <w:color w:val="212529"/>
        </w:rPr>
        <w:t xml:space="preserve"> et al., delve into novel biomarkers for predicting complications in decompensated liver cirrhosis, known for its heightened short-term mortality risk. </w:t>
      </w:r>
    </w:p>
    <w:p w14:paraId="382F0A3A" w14:textId="171382D0" w:rsidR="00140094" w:rsidRPr="00140094" w:rsidRDefault="00140094" w:rsidP="00140094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r w:rsidRPr="00140094">
        <w:rPr>
          <w:rFonts w:ascii="Segoe UI" w:hAnsi="Segoe UI" w:cs="Segoe UI"/>
          <w:color w:val="212529"/>
        </w:rPr>
        <w:t>Drawing from prospective and retrospective studies on PubMed and Embase, the study primarily targets 90-day mortality, while also exploring secondary outcomes like 28-day and 1-year mortality, acute-on-chronic liver failure (ACLF), and other cirrhosis-related complications.</w:t>
      </w:r>
    </w:p>
    <w:p w14:paraId="6F5474E5" w14:textId="3E68DC67" w:rsidR="00140094" w:rsidRPr="00140094" w:rsidRDefault="00140094" w:rsidP="00140094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r w:rsidRPr="00140094">
        <w:rPr>
          <w:rFonts w:ascii="Segoe UI" w:hAnsi="Segoe UI" w:cs="Segoe UI"/>
          <w:color w:val="212529"/>
        </w:rPr>
        <w:t>Employing the ratio of means (</w:t>
      </w:r>
      <w:proofErr w:type="spellStart"/>
      <w:r w:rsidRPr="00140094">
        <w:rPr>
          <w:rFonts w:ascii="Segoe UI" w:hAnsi="Segoe UI" w:cs="Segoe UI"/>
          <w:color w:val="212529"/>
        </w:rPr>
        <w:t>RoM</w:t>
      </w:r>
      <w:proofErr w:type="spellEnd"/>
      <w:r w:rsidRPr="00140094">
        <w:rPr>
          <w:rFonts w:ascii="Segoe UI" w:hAnsi="Segoe UI" w:cs="Segoe UI"/>
          <w:color w:val="212529"/>
        </w:rPr>
        <w:t>) for comparison of biomarker levels, the meta-analysis reveals several biomarkers associated with a ratio greater than 1 for 90-day mortality, including urinary neutrophil gelatinase-associated lipocalin (</w:t>
      </w:r>
      <w:proofErr w:type="spellStart"/>
      <w:r w:rsidRPr="00140094">
        <w:rPr>
          <w:rFonts w:ascii="Segoe UI" w:hAnsi="Segoe UI" w:cs="Segoe UI"/>
          <w:color w:val="212529"/>
        </w:rPr>
        <w:t>uNGAL</w:t>
      </w:r>
      <w:proofErr w:type="spellEnd"/>
      <w:r w:rsidRPr="00140094">
        <w:rPr>
          <w:rFonts w:ascii="Segoe UI" w:hAnsi="Segoe UI" w:cs="Segoe UI"/>
          <w:color w:val="212529"/>
        </w:rPr>
        <w:t xml:space="preserve">), copeptin, sCD163 (soluble cluster of differentiation 163), interleukin(IL)-8, cystatin C, tumour necrosis factor (TNF)-α, monocyte chemoattractant protein-1 (MCP-1), liver fatty acid binding protein (LFABP), kidney injury molecule-1 (KIM-1), and soluble mannose reporter (SMR). </w:t>
      </w:r>
    </w:p>
    <w:p w14:paraId="16156B0E" w14:textId="77777777" w:rsidR="00140094" w:rsidRPr="00140094" w:rsidRDefault="00140094" w:rsidP="00140094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r w:rsidRPr="00140094">
        <w:rPr>
          <w:rFonts w:ascii="Segoe UI" w:hAnsi="Segoe UI" w:cs="Segoe UI"/>
          <w:color w:val="212529"/>
        </w:rPr>
        <w:t xml:space="preserve">The findings for 28-day mortality closely align with those for 90-day mortality, with </w:t>
      </w:r>
      <w:proofErr w:type="spellStart"/>
      <w:r w:rsidRPr="00140094">
        <w:rPr>
          <w:rFonts w:ascii="Segoe UI" w:hAnsi="Segoe UI" w:cs="Segoe UI"/>
          <w:color w:val="212529"/>
        </w:rPr>
        <w:t>uNGAL</w:t>
      </w:r>
      <w:proofErr w:type="spellEnd"/>
      <w:r w:rsidRPr="00140094">
        <w:rPr>
          <w:rFonts w:ascii="Segoe UI" w:hAnsi="Segoe UI" w:cs="Segoe UI"/>
          <w:color w:val="212529"/>
        </w:rPr>
        <w:t xml:space="preserve">, copeptin, sCD163 cystatin C, TNF-α, MCP-1, KIM-1, IL-6, IL-18 and SMR showing promise. Pooled AUROC (area under the receiver operating characteristic curve) levels derivable for 90-day mortality biomarkers (cystatin C, </w:t>
      </w:r>
      <w:proofErr w:type="spellStart"/>
      <w:r w:rsidRPr="00140094">
        <w:rPr>
          <w:rFonts w:ascii="Segoe UI" w:hAnsi="Segoe UI" w:cs="Segoe UI"/>
          <w:color w:val="212529"/>
        </w:rPr>
        <w:t>uNGAL</w:t>
      </w:r>
      <w:proofErr w:type="spellEnd"/>
      <w:r w:rsidRPr="00140094">
        <w:rPr>
          <w:rFonts w:ascii="Segoe UI" w:hAnsi="Segoe UI" w:cs="Segoe UI"/>
          <w:color w:val="212529"/>
        </w:rPr>
        <w:t>, IL-6, HNA2 (human neutrophil antigen 2), SMR, and sCD163) and 28-day mortality (</w:t>
      </w:r>
      <w:proofErr w:type="spellStart"/>
      <w:r w:rsidRPr="00140094">
        <w:rPr>
          <w:rFonts w:ascii="Segoe UI" w:hAnsi="Segoe UI" w:cs="Segoe UI"/>
          <w:color w:val="212529"/>
        </w:rPr>
        <w:t>uNGAL</w:t>
      </w:r>
      <w:proofErr w:type="spellEnd"/>
      <w:r w:rsidRPr="00140094">
        <w:rPr>
          <w:rFonts w:ascii="Segoe UI" w:hAnsi="Segoe UI" w:cs="Segoe UI"/>
          <w:color w:val="212529"/>
        </w:rPr>
        <w:t>, IL-6, HNA2, and sCD163) ranged between 0.67 and 0.78 with varying confidence intervals.</w:t>
      </w:r>
    </w:p>
    <w:p w14:paraId="21C21523" w14:textId="4E6A164B" w:rsidR="00140094" w:rsidRPr="00140094" w:rsidRDefault="00140094" w:rsidP="00140094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r w:rsidRPr="00140094">
        <w:rPr>
          <w:rFonts w:ascii="Segoe UI" w:hAnsi="Segoe UI" w:cs="Segoe UI"/>
          <w:color w:val="212529"/>
        </w:rPr>
        <w:t xml:space="preserve">Secondary outcomes, like ACLF and acute kidney injury, also exhibit promising biomarkers from pooled analysis, such as cystatin C, </w:t>
      </w:r>
      <w:proofErr w:type="spellStart"/>
      <w:r w:rsidRPr="00140094">
        <w:rPr>
          <w:rFonts w:ascii="Segoe UI" w:hAnsi="Segoe UI" w:cs="Segoe UI"/>
          <w:color w:val="212529"/>
        </w:rPr>
        <w:t>pNGAL</w:t>
      </w:r>
      <w:proofErr w:type="spellEnd"/>
      <w:r w:rsidRPr="00140094">
        <w:rPr>
          <w:rFonts w:ascii="Segoe UI" w:hAnsi="Segoe UI" w:cs="Segoe UI"/>
          <w:color w:val="212529"/>
        </w:rPr>
        <w:t xml:space="preserve"> (plasma neutrophil gelatinase-associated lipocalin), IL-6, TNFα, </w:t>
      </w:r>
      <w:proofErr w:type="spellStart"/>
      <w:r w:rsidRPr="00140094">
        <w:rPr>
          <w:rFonts w:ascii="Segoe UI" w:hAnsi="Segoe UI" w:cs="Segoe UI"/>
          <w:color w:val="212529"/>
        </w:rPr>
        <w:t>uNGAL</w:t>
      </w:r>
      <w:proofErr w:type="spellEnd"/>
      <w:r w:rsidRPr="00140094">
        <w:rPr>
          <w:rFonts w:ascii="Segoe UI" w:hAnsi="Segoe UI" w:cs="Segoe UI"/>
          <w:color w:val="212529"/>
        </w:rPr>
        <w:t xml:space="preserve">, and others. </w:t>
      </w:r>
    </w:p>
    <w:p w14:paraId="7B5F1B0B" w14:textId="2DB19C7C" w:rsidR="00DD3D75" w:rsidRPr="000443E7" w:rsidRDefault="00140094" w:rsidP="00140094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r w:rsidRPr="00140094">
        <w:rPr>
          <w:rFonts w:ascii="Segoe UI" w:hAnsi="Segoe UI" w:cs="Segoe UI"/>
          <w:color w:val="212529"/>
        </w:rPr>
        <w:t xml:space="preserve">Despite acknowledged study heterogeneity, scarcity of studies related to biomarkers and outcomes, and limitations associated with </w:t>
      </w:r>
      <w:proofErr w:type="spellStart"/>
      <w:r w:rsidRPr="00140094">
        <w:rPr>
          <w:rFonts w:ascii="Segoe UI" w:hAnsi="Segoe UI" w:cs="Segoe UI"/>
          <w:color w:val="212529"/>
        </w:rPr>
        <w:t>RoM</w:t>
      </w:r>
      <w:proofErr w:type="spellEnd"/>
      <w:r w:rsidRPr="00140094">
        <w:rPr>
          <w:rFonts w:ascii="Segoe UI" w:hAnsi="Segoe UI" w:cs="Segoe UI"/>
          <w:color w:val="212529"/>
        </w:rPr>
        <w:t xml:space="preserve">, particularly in estimating or </w:t>
      </w:r>
      <w:r w:rsidRPr="00140094">
        <w:rPr>
          <w:rFonts w:ascii="Segoe UI" w:hAnsi="Segoe UI" w:cs="Segoe UI"/>
          <w:color w:val="212529"/>
        </w:rPr>
        <w:lastRenderedPageBreak/>
        <w:t>discriminating risk, the study underscores the need for further investigation into these promising biomarkers in the context of decompensated liver cirrhosis.</w:t>
      </w:r>
    </w:p>
    <w:sectPr w:rsidR="00DD3D75" w:rsidRPr="000443E7" w:rsidSect="00CF5E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7E"/>
    <w:rsid w:val="00043283"/>
    <w:rsid w:val="000443E7"/>
    <w:rsid w:val="00140094"/>
    <w:rsid w:val="00150375"/>
    <w:rsid w:val="001D19ED"/>
    <w:rsid w:val="00246A9F"/>
    <w:rsid w:val="004F4518"/>
    <w:rsid w:val="008A20F5"/>
    <w:rsid w:val="0098392B"/>
    <w:rsid w:val="00A6790F"/>
    <w:rsid w:val="00A71F20"/>
    <w:rsid w:val="00B66B74"/>
    <w:rsid w:val="00B8275A"/>
    <w:rsid w:val="00CC6F83"/>
    <w:rsid w:val="00CF5E7E"/>
    <w:rsid w:val="00DD3D75"/>
    <w:rsid w:val="00F16A42"/>
    <w:rsid w:val="00F833B0"/>
    <w:rsid w:val="00FE27C8"/>
    <w:rsid w:val="00FE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EBED2"/>
  <w15:chartTrackingRefBased/>
  <w15:docId w15:val="{C8D1D647-7B46-42C9-87AC-01C77944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F5E7E"/>
    <w:rPr>
      <w:b/>
      <w:bCs/>
    </w:rPr>
  </w:style>
  <w:style w:type="character" w:styleId="Emphasis">
    <w:name w:val="Emphasis"/>
    <w:basedOn w:val="DefaultParagraphFont"/>
    <w:uiPriority w:val="20"/>
    <w:qFormat/>
    <w:rsid w:val="00CF5E7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F5E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ut.bmj.com/content/73/1/156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Mandic</dc:creator>
  <cp:keywords/>
  <dc:description/>
  <cp:lastModifiedBy>Maria Mandic</cp:lastModifiedBy>
  <cp:revision>2</cp:revision>
  <dcterms:created xsi:type="dcterms:W3CDTF">2024-02-26T14:39:00Z</dcterms:created>
  <dcterms:modified xsi:type="dcterms:W3CDTF">2024-02-26T14:39:00Z</dcterms:modified>
</cp:coreProperties>
</file>