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49C9B921" w14:textId="77777777" w:rsidR="003D2146" w:rsidRDefault="003D2146" w:rsidP="003D2146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E61040">
        <w:rPr>
          <w:rStyle w:val="Strong"/>
          <w:rFonts w:ascii="Segoe UI" w:hAnsi="Segoe UI" w:cs="Segoe UI"/>
          <w:color w:val="212529"/>
        </w:rPr>
        <w:t xml:space="preserve">Serum ferritin levels can predict long-term outcomes in patients with metabolic dysfunction-associated </w:t>
      </w:r>
      <w:proofErr w:type="spellStart"/>
      <w:r w:rsidRPr="00E61040">
        <w:rPr>
          <w:rStyle w:val="Strong"/>
          <w:rFonts w:ascii="Segoe UI" w:hAnsi="Segoe UI" w:cs="Segoe UI"/>
          <w:color w:val="212529"/>
        </w:rPr>
        <w:t>steatotic</w:t>
      </w:r>
      <w:proofErr w:type="spellEnd"/>
      <w:r w:rsidRPr="00E61040">
        <w:rPr>
          <w:rStyle w:val="Strong"/>
          <w:rFonts w:ascii="Segoe UI" w:hAnsi="Segoe UI" w:cs="Segoe UI"/>
          <w:color w:val="212529"/>
        </w:rPr>
        <w:t xml:space="preserve"> liver </w:t>
      </w:r>
      <w:proofErr w:type="gramStart"/>
      <w:r w:rsidRPr="00E61040">
        <w:rPr>
          <w:rStyle w:val="Strong"/>
          <w:rFonts w:ascii="Segoe UI" w:hAnsi="Segoe UI" w:cs="Segoe UI"/>
          <w:color w:val="212529"/>
        </w:rPr>
        <w:t>disease</w:t>
      </w:r>
      <w:proofErr w:type="gramEnd"/>
    </w:p>
    <w:p w14:paraId="5ACFFD14" w14:textId="77777777" w:rsidR="003D2146" w:rsidRPr="00E61040" w:rsidRDefault="003D2146" w:rsidP="003D2146">
      <w:pPr>
        <w:jc w:val="both"/>
        <w:rPr>
          <w:rFonts w:ascii="Segoe UI" w:hAnsi="Segoe UI" w:cs="Segoe UI"/>
          <w:i/>
          <w:iCs/>
          <w:color w:val="212529"/>
          <w:shd w:val="clear" w:color="auto" w:fill="FFFFFF"/>
        </w:rPr>
      </w:pPr>
      <w:proofErr w:type="spellStart"/>
      <w:r w:rsidRPr="00E61040">
        <w:rPr>
          <w:rFonts w:ascii="Segoe UI" w:hAnsi="Segoe UI" w:cs="Segoe UI"/>
          <w:i/>
          <w:iCs/>
          <w:color w:val="212529"/>
          <w:shd w:val="clear" w:color="auto" w:fill="FFFFFF"/>
        </w:rPr>
        <w:t>Armandi</w:t>
      </w:r>
      <w:proofErr w:type="spellEnd"/>
      <w:r w:rsidRPr="00E61040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 A, </w:t>
      </w:r>
      <w:proofErr w:type="spellStart"/>
      <w:r w:rsidRPr="00E61040">
        <w:rPr>
          <w:rFonts w:ascii="Segoe UI" w:hAnsi="Segoe UI" w:cs="Segoe UI"/>
          <w:i/>
          <w:iCs/>
          <w:color w:val="212529"/>
          <w:shd w:val="clear" w:color="auto" w:fill="FFFFFF"/>
        </w:rPr>
        <w:t>Sanavia</w:t>
      </w:r>
      <w:proofErr w:type="spellEnd"/>
      <w:r w:rsidRPr="00E61040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 T, Younes R, </w:t>
      </w:r>
      <w:r w:rsidRPr="00E61040">
        <w:rPr>
          <w:rStyle w:val="Emphasis"/>
          <w:rFonts w:ascii="Segoe UI" w:hAnsi="Segoe UI" w:cs="Segoe UI"/>
          <w:i w:val="0"/>
          <w:iCs w:val="0"/>
          <w:color w:val="212529"/>
          <w:shd w:val="clear" w:color="auto" w:fill="FFFFFF"/>
        </w:rPr>
        <w:t>et al.</w:t>
      </w:r>
      <w:r w:rsidRPr="00E61040">
        <w:rPr>
          <w:rFonts w:ascii="Segoe UI" w:hAnsi="Segoe UI" w:cs="Segoe UI"/>
          <w:i/>
          <w:iCs/>
          <w:color w:val="212529"/>
          <w:shd w:val="clear" w:color="auto" w:fill="FFFFFF"/>
        </w:rPr>
        <w:t> </w:t>
      </w:r>
      <w:hyperlink r:id="rId6" w:history="1">
        <w:r w:rsidRPr="00E61040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 xml:space="preserve">Serum ferritin levels can predict long-term outcomes in patients with metabolic dysfunction-associated </w:t>
        </w:r>
        <w:proofErr w:type="spellStart"/>
        <w:r w:rsidRPr="00E61040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>steatotic</w:t>
        </w:r>
        <w:proofErr w:type="spellEnd"/>
        <w:r w:rsidRPr="00E61040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 xml:space="preserve"> liver disease.</w:t>
        </w:r>
      </w:hyperlink>
      <w:r w:rsidRPr="00E61040">
        <w:rPr>
          <w:rFonts w:ascii="Segoe UI" w:hAnsi="Segoe UI" w:cs="Segoe UI"/>
          <w:i/>
          <w:iCs/>
          <w:color w:val="212529"/>
          <w:shd w:val="clear" w:color="auto" w:fill="FFFFFF"/>
        </w:rPr>
        <w:t> </w:t>
      </w:r>
      <w:r w:rsidRPr="00E61040">
        <w:rPr>
          <w:rStyle w:val="Emphasis"/>
          <w:rFonts w:ascii="Segoe UI" w:hAnsi="Segoe UI" w:cs="Segoe UI"/>
          <w:i w:val="0"/>
          <w:iCs w:val="0"/>
          <w:color w:val="212529"/>
          <w:shd w:val="clear" w:color="auto" w:fill="FFFFFF"/>
        </w:rPr>
        <w:t>Gut</w:t>
      </w:r>
      <w:r w:rsidRPr="00E61040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 2024; 73(5): 825-834. </w:t>
      </w:r>
      <w:proofErr w:type="spellStart"/>
      <w:r w:rsidRPr="00E61040">
        <w:rPr>
          <w:rFonts w:ascii="Segoe UI" w:hAnsi="Segoe UI" w:cs="Segoe UI"/>
          <w:i/>
          <w:iCs/>
          <w:color w:val="212529"/>
          <w:shd w:val="clear" w:color="auto" w:fill="FFFFFF"/>
        </w:rPr>
        <w:t>doi</w:t>
      </w:r>
      <w:proofErr w:type="spellEnd"/>
      <w:r w:rsidRPr="00E61040">
        <w:rPr>
          <w:rFonts w:ascii="Segoe UI" w:hAnsi="Segoe UI" w:cs="Segoe UI"/>
          <w:i/>
          <w:iCs/>
          <w:color w:val="212529"/>
          <w:shd w:val="clear" w:color="auto" w:fill="FFFFFF"/>
        </w:rPr>
        <w:t>:   10.1136/gutjnl-2023-330815</w:t>
      </w:r>
    </w:p>
    <w:p w14:paraId="782CDD27" w14:textId="77777777" w:rsidR="003D2146" w:rsidRPr="00D20FCD" w:rsidRDefault="003D2146" w:rsidP="003D2146">
      <w:pPr>
        <w:jc w:val="both"/>
        <w:rPr>
          <w:rFonts w:ascii="Segoe UI" w:hAnsi="Segoe UI" w:cs="Segoe UI"/>
          <w:sz w:val="24"/>
          <w:szCs w:val="24"/>
        </w:rPr>
      </w:pPr>
      <w:proofErr w:type="spellStart"/>
      <w:r w:rsidRPr="00D20FCD">
        <w:rPr>
          <w:rFonts w:ascii="Segoe UI" w:hAnsi="Segoe UI" w:cs="Segoe UI"/>
          <w:sz w:val="24"/>
          <w:szCs w:val="24"/>
        </w:rPr>
        <w:t>Hyperferritinaemia</w:t>
      </w:r>
      <w:proofErr w:type="spellEnd"/>
      <w:r w:rsidRPr="00D20FCD">
        <w:rPr>
          <w:rFonts w:ascii="Segoe UI" w:hAnsi="Segoe UI" w:cs="Segoe UI"/>
          <w:sz w:val="24"/>
          <w:szCs w:val="24"/>
        </w:rPr>
        <w:t xml:space="preserve"> in absence of iron overload is common in metabolic dysfunction-associated </w:t>
      </w:r>
      <w:proofErr w:type="spellStart"/>
      <w:r w:rsidRPr="00D20FCD">
        <w:rPr>
          <w:rFonts w:ascii="Segoe UI" w:hAnsi="Segoe UI" w:cs="Segoe UI"/>
          <w:sz w:val="24"/>
          <w:szCs w:val="24"/>
        </w:rPr>
        <w:t>steatotic</w:t>
      </w:r>
      <w:proofErr w:type="spellEnd"/>
      <w:r w:rsidRPr="00D20FCD">
        <w:rPr>
          <w:rFonts w:ascii="Segoe UI" w:hAnsi="Segoe UI" w:cs="Segoe UI"/>
          <w:sz w:val="24"/>
          <w:szCs w:val="24"/>
        </w:rPr>
        <w:t xml:space="preserve"> liver disease (MASLD) affecting over one-third of patients.  It reflects underlying inflammatory processes and oxidative stress. While associated with liver fibrosis severity, its predictive role in long-term outcomes remains uncertain. In this study, </w:t>
      </w:r>
      <w:proofErr w:type="spellStart"/>
      <w:r w:rsidRPr="00D20FCD">
        <w:rPr>
          <w:rFonts w:ascii="Segoe UI" w:hAnsi="Segoe UI" w:cs="Segoe UI"/>
          <w:sz w:val="24"/>
          <w:szCs w:val="24"/>
        </w:rPr>
        <w:t>Armandi</w:t>
      </w:r>
      <w:proofErr w:type="spellEnd"/>
      <w:r w:rsidRPr="00D20FCD">
        <w:rPr>
          <w:rFonts w:ascii="Segoe UI" w:hAnsi="Segoe UI" w:cs="Segoe UI"/>
          <w:sz w:val="24"/>
          <w:szCs w:val="24"/>
        </w:rPr>
        <w:t xml:space="preserve"> et al., evaluated the performance of baseline ferritin in predicting long-term outcomes for MASLD in a multicentre cohort of 1342 patients. They applied four survival models, including ferritin levels and confounders or non-invasive scoring systems, using Harrell’s C-index.  During a median follow-up of 96 months, occurrences of liver-related events were noted in 7.7% (103/1332) of patients, hepatocellular carcinoma in 1.9% (25/1330), cardiovascular events in 10.9% (139/1265), extrahepatic cancers in 8.3% (92/1109), and all-cause mortality in 5.8% (70/1342). Elevated ferritin levels were linked to a 50% increased risk of liver-related events and a 27% increased risk of all-cause mortality. Notably, liver-related event risk significantly escalated for ferritin level ≥215.5 µg/L, with a median hazard ratio of 1.71 (2.5-97.5% CI: 1.08-2.7) and a C-index of 0.71. Similarly, the risk of overall mortality increased for ferritin level ≥272 µg/L, with a median hazard ratio of 1.49 (2.5-97.5% CI: 0.83-2.67) and a C-index of 0.70. Furthermore, integrating serum ferritin thresholds into predictive models enhanced the performance of existing scoring systems such as Fibrosis-4 and Non-Alcoholic Fatty Liver Disease Fibrosis Scores. </w:t>
      </w:r>
    </w:p>
    <w:p w14:paraId="6C2D08CB" w14:textId="77777777" w:rsidR="003D2146" w:rsidRPr="006116CD" w:rsidRDefault="003D2146" w:rsidP="003D2146">
      <w:pPr>
        <w:jc w:val="both"/>
        <w:rPr>
          <w:rFonts w:ascii="Segoe UI" w:hAnsi="Segoe UI" w:cs="Segoe UI"/>
          <w:sz w:val="24"/>
          <w:szCs w:val="24"/>
        </w:rPr>
      </w:pPr>
      <w:proofErr w:type="spellStart"/>
      <w:r w:rsidRPr="00D20FCD">
        <w:rPr>
          <w:rFonts w:ascii="Segoe UI" w:hAnsi="Segoe UI" w:cs="Segoe UI"/>
          <w:sz w:val="24"/>
          <w:szCs w:val="24"/>
        </w:rPr>
        <w:t>Armandi</w:t>
      </w:r>
      <w:proofErr w:type="spellEnd"/>
      <w:r w:rsidRPr="00D20FCD">
        <w:rPr>
          <w:rFonts w:ascii="Segoe UI" w:hAnsi="Segoe UI" w:cs="Segoe UI"/>
          <w:sz w:val="24"/>
          <w:szCs w:val="24"/>
        </w:rPr>
        <w:t xml:space="preserve"> et al., concluded that serum ferritin levels could serve as valuable predictors for long-term prognosis in MASLD patients but would require further prospective validation to integrate into routine clinical practice.</w:t>
      </w:r>
    </w:p>
    <w:p w14:paraId="7B5F1B0B" w14:textId="7D0F29F6" w:rsidR="00DD3D75" w:rsidRPr="006116CD" w:rsidRDefault="00DD3D75" w:rsidP="003D2146">
      <w:pPr>
        <w:pStyle w:val="NormalWeb"/>
        <w:shd w:val="clear" w:color="auto" w:fill="FFFFFF"/>
        <w:rPr>
          <w:rFonts w:ascii="Segoe UI" w:hAnsi="Segoe UI" w:cs="Segoe UI"/>
        </w:rPr>
      </w:pPr>
    </w:p>
    <w:sectPr w:rsidR="00DD3D75" w:rsidRPr="006116CD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334E8"/>
    <w:multiLevelType w:val="hybridMultilevel"/>
    <w:tmpl w:val="62F00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10955"/>
    <w:rsid w:val="00043283"/>
    <w:rsid w:val="000443E7"/>
    <w:rsid w:val="00150375"/>
    <w:rsid w:val="00246A9F"/>
    <w:rsid w:val="002D5388"/>
    <w:rsid w:val="0031385C"/>
    <w:rsid w:val="003D2146"/>
    <w:rsid w:val="004E2B59"/>
    <w:rsid w:val="00563322"/>
    <w:rsid w:val="006116CD"/>
    <w:rsid w:val="00696C90"/>
    <w:rsid w:val="006E7B81"/>
    <w:rsid w:val="0079438C"/>
    <w:rsid w:val="009310AC"/>
    <w:rsid w:val="009C7E39"/>
    <w:rsid w:val="00A6790F"/>
    <w:rsid w:val="00B8275A"/>
    <w:rsid w:val="00B82D68"/>
    <w:rsid w:val="00C814D5"/>
    <w:rsid w:val="00CF5E7E"/>
    <w:rsid w:val="00D20FCD"/>
    <w:rsid w:val="00DD3D75"/>
    <w:rsid w:val="00E61040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t.bmj.com/content/73/5/8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3</cp:revision>
  <dcterms:created xsi:type="dcterms:W3CDTF">2024-06-11T09:55:00Z</dcterms:created>
  <dcterms:modified xsi:type="dcterms:W3CDTF">2024-06-11T09:56:00Z</dcterms:modified>
</cp:coreProperties>
</file>